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8CA58" w14:textId="77777777" w:rsidR="00BA4D0B"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Pr>
          <w:noProof/>
        </w:rPr>
        <w:drawing>
          <wp:anchor distT="0" distB="0" distL="114300" distR="114300" simplePos="0" relativeHeight="251658240" behindDoc="0" locked="0" layoutInCell="1" hidden="0" allowOverlap="1" wp14:anchorId="726FACEF" wp14:editId="1836197D">
            <wp:simplePos x="0" y="0"/>
            <wp:positionH relativeFrom="column">
              <wp:posOffset>-127000</wp:posOffset>
            </wp:positionH>
            <wp:positionV relativeFrom="paragraph">
              <wp:posOffset>0</wp:posOffset>
            </wp:positionV>
            <wp:extent cx="2387600" cy="790575"/>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87600" cy="790575"/>
                    </a:xfrm>
                    <a:prstGeom prst="rect">
                      <a:avLst/>
                    </a:prstGeom>
                    <a:ln/>
                  </pic:spPr>
                </pic:pic>
              </a:graphicData>
            </a:graphic>
            <wp14:sizeRelH relativeFrom="margin">
              <wp14:pctWidth>0</wp14:pctWidth>
            </wp14:sizeRelH>
            <wp14:sizeRelV relativeFrom="margin">
              <wp14:pctHeight>0</wp14:pctHeight>
            </wp14:sizeRelV>
          </wp:anchor>
        </w:drawing>
      </w:r>
    </w:p>
    <w:p w14:paraId="2BB78642" w14:textId="77777777" w:rsidR="00BA4D0B" w:rsidRDefault="00BA4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p>
    <w:p w14:paraId="3AA66838" w14:textId="520985E4" w:rsidR="00BA4D0B" w:rsidRDefault="00D32D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Pr>
          <w:b/>
          <w:color w:val="000000"/>
        </w:rPr>
        <w:t xml:space="preserve">                                                                  </w:t>
      </w:r>
    </w:p>
    <w:p w14:paraId="1CF908CF" w14:textId="251E998E" w:rsidR="00BA4D0B" w:rsidRDefault="00651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18D3A639" w14:textId="77777777" w:rsidR="00BA4D0B"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Pr>
          <w:noProof/>
        </w:rPr>
        <mc:AlternateContent>
          <mc:Choice Requires="wps">
            <w:drawing>
              <wp:anchor distT="0" distB="0" distL="114300" distR="114300" simplePos="0" relativeHeight="251659264" behindDoc="0" locked="0" layoutInCell="1" hidden="0" allowOverlap="1" wp14:anchorId="57327D0D" wp14:editId="43D33DF3">
                <wp:simplePos x="0" y="0"/>
                <wp:positionH relativeFrom="column">
                  <wp:posOffset>-196850</wp:posOffset>
                </wp:positionH>
                <wp:positionV relativeFrom="paragraph">
                  <wp:posOffset>93345</wp:posOffset>
                </wp:positionV>
                <wp:extent cx="1816100" cy="525780"/>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0" y="0"/>
                          <a:ext cx="1816100" cy="525780"/>
                        </a:xfrm>
                        <a:prstGeom prst="rect">
                          <a:avLst/>
                        </a:prstGeom>
                        <a:solidFill>
                          <a:srgbClr val="FFFFFF"/>
                        </a:solidFill>
                        <a:ln>
                          <a:noFill/>
                        </a:ln>
                      </wps:spPr>
                      <wps:txbx>
                        <w:txbxContent>
                          <w:p w14:paraId="2990E522" w14:textId="77777777" w:rsidR="00BA4D0B" w:rsidRDefault="00000000">
                            <w:pPr>
                              <w:textDirection w:val="btLr"/>
                            </w:pPr>
                            <w:r>
                              <w:rPr>
                                <w:rFonts w:ascii="ArialMT" w:eastAsia="ArialMT" w:hAnsi="ArialMT" w:cs="ArialMT"/>
                                <w:color w:val="000000"/>
                                <w:sz w:val="18"/>
                              </w:rPr>
                              <w:t>3901 Argyle Terrace, N.W.</w:t>
                            </w:r>
                          </w:p>
                          <w:p w14:paraId="36B31DCC" w14:textId="77777777" w:rsidR="00BA4D0B" w:rsidRDefault="00000000">
                            <w:pPr>
                              <w:textDirection w:val="btLr"/>
                            </w:pPr>
                            <w:r>
                              <w:rPr>
                                <w:rFonts w:ascii="ArialMT" w:eastAsia="ArialMT" w:hAnsi="ArialMT" w:cs="ArialMT"/>
                                <w:color w:val="000000"/>
                                <w:sz w:val="18"/>
                              </w:rPr>
                              <w:t>Washington, D.C. 20011</w:t>
                            </w:r>
                          </w:p>
                          <w:p w14:paraId="108AE9CA" w14:textId="19FC77AF" w:rsidR="00BA4D0B" w:rsidRDefault="00AD5637">
                            <w:pPr>
                              <w:textDirection w:val="btLr"/>
                            </w:pPr>
                            <w:r>
                              <w:rPr>
                                <w:rFonts w:ascii="ArialMT" w:eastAsia="ArialMT" w:hAnsi="ArialMT" w:cs="ArialMT"/>
                                <w:color w:val="000000"/>
                                <w:sz w:val="18"/>
                              </w:rPr>
                              <w:t>202-550-4131 - www.dcogc.org</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57327D0D" id="Rectangle 6" o:spid="_x0000_s1026" style="position:absolute;margin-left:-15.5pt;margin-top:7.35pt;width:143pt;height:41.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" stroked="f">
                <v:textbox inset="2.53958mm,1.2694mm,2.53958mm,1.2694mm">
                  <w:txbxContent>
                    <w:p w14:paraId="2990E522" w14:textId="77777777" w:rsidR="00BA4D0B" w:rsidRDefault="00000000">
                      <w:pPr>
                        <w:textDirection w:val="btLr"/>
                      </w:pPr>
                      <w:r>
                        <w:rPr>
                          <w:rFonts w:ascii="ArialMT" w:eastAsia="ArialMT" w:hAnsi="ArialMT" w:cs="ArialMT"/>
                          <w:color w:val="000000"/>
                          <w:sz w:val="18"/>
                        </w:rPr>
                        <w:t>3901 Argyle Terrace, N.W.</w:t>
                      </w:r>
                    </w:p>
                    <w:p w14:paraId="36B31DCC" w14:textId="77777777" w:rsidR="00BA4D0B" w:rsidRDefault="00000000">
                      <w:pPr>
                        <w:textDirection w:val="btLr"/>
                      </w:pPr>
                      <w:r>
                        <w:rPr>
                          <w:rFonts w:ascii="ArialMT" w:eastAsia="ArialMT" w:hAnsi="ArialMT" w:cs="ArialMT"/>
                          <w:color w:val="000000"/>
                          <w:sz w:val="18"/>
                        </w:rPr>
                        <w:t>Washington, D.C. 20011</w:t>
                      </w:r>
                    </w:p>
                    <w:p w14:paraId="108AE9CA" w14:textId="19FC77AF" w:rsidR="00BA4D0B" w:rsidRDefault="00AD5637">
                      <w:pPr>
                        <w:textDirection w:val="btLr"/>
                      </w:pPr>
                      <w:r>
                        <w:rPr>
                          <w:rFonts w:ascii="ArialMT" w:eastAsia="ArialMT" w:hAnsi="ArialMT" w:cs="ArialMT"/>
                          <w:color w:val="000000"/>
                          <w:sz w:val="18"/>
                        </w:rPr>
                        <w:t>202-550-4131 - www.dcogc.org</w:t>
                      </w:r>
                    </w:p>
                  </w:txbxContent>
                </v:textbox>
                <w10:wrap type="square"/>
              </v:rect>
            </w:pict>
          </mc:Fallback>
        </mc:AlternateContent>
      </w:r>
    </w:p>
    <w:p w14:paraId="0A9C94F4" w14:textId="77777777" w:rsidR="00BA4D0B" w:rsidRDefault="00BA4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p>
    <w:p w14:paraId="340B099E" w14:textId="77777777" w:rsidR="00BA4D0B" w:rsidRDefault="00BA4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000000"/>
        </w:rPr>
      </w:pPr>
    </w:p>
    <w:p w14:paraId="0ACEED5D" w14:textId="3F74B55E" w:rsidR="00552C61" w:rsidRDefault="00552C61" w:rsidP="00552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ab/>
      </w:r>
    </w:p>
    <w:p w14:paraId="536C183E" w14:textId="1033C2F2" w:rsidR="00BA4D0B" w:rsidRDefault="00854332" w:rsidP="00854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 xml:space="preserve">                          </w:t>
      </w:r>
      <w:r w:rsidR="00A067EF">
        <w:rPr>
          <w:color w:val="000000"/>
        </w:rPr>
        <w:t xml:space="preserve">   </w:t>
      </w:r>
      <w:r w:rsidR="00552C61">
        <w:rPr>
          <w:color w:val="000000"/>
        </w:rPr>
        <w:tab/>
      </w:r>
      <w:r w:rsidR="00552C61">
        <w:rPr>
          <w:color w:val="000000"/>
        </w:rPr>
        <w:tab/>
      </w:r>
      <w:r w:rsidR="00552C61">
        <w:rPr>
          <w:color w:val="000000"/>
        </w:rPr>
        <w:tab/>
      </w:r>
      <w:r w:rsidR="00552C61">
        <w:rPr>
          <w:color w:val="000000"/>
        </w:rPr>
        <w:tab/>
        <w:t xml:space="preserve">     </w:t>
      </w:r>
      <w:r w:rsidR="005D4B4A">
        <w:rPr>
          <w:color w:val="000000"/>
        </w:rPr>
        <w:t xml:space="preserve"> </w:t>
      </w:r>
      <w:r w:rsidR="00552C61">
        <w:rPr>
          <w:color w:val="000000"/>
        </w:rPr>
        <w:t xml:space="preserve"> </w:t>
      </w:r>
      <w:r>
        <w:rPr>
          <w:color w:val="000000"/>
        </w:rPr>
        <w:t>Testimony of</w:t>
      </w:r>
    </w:p>
    <w:p w14:paraId="74EAD491" w14:textId="77777777" w:rsidR="00BA4D0B"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rPr>
      </w:pPr>
      <w:r>
        <w:rPr>
          <w:b/>
          <w:color w:val="000000"/>
        </w:rPr>
        <w:t xml:space="preserve">Fritz Mulhauser </w:t>
      </w:r>
    </w:p>
    <w:p w14:paraId="6FE9BAE7" w14:textId="77777777" w:rsidR="00BA4D0B" w:rsidRDefault="00BA4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000000"/>
        </w:rPr>
      </w:pPr>
    </w:p>
    <w:p w14:paraId="7D925E97" w14:textId="5125A910" w:rsidR="00BA4D0B"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000000"/>
        </w:rPr>
      </w:pPr>
      <w:r>
        <w:rPr>
          <w:color w:val="000000"/>
        </w:rPr>
        <w:t xml:space="preserve">Before the Committee </w:t>
      </w:r>
      <w:r w:rsidR="00500D5A">
        <w:rPr>
          <w:color w:val="000000"/>
        </w:rPr>
        <w:t xml:space="preserve">of the Whole </w:t>
      </w:r>
      <w:r w:rsidR="00AE2F8E">
        <w:rPr>
          <w:color w:val="000000"/>
        </w:rPr>
        <w:t xml:space="preserve"> </w:t>
      </w:r>
      <w:r w:rsidR="00743A81">
        <w:rPr>
          <w:color w:val="000000"/>
        </w:rPr>
        <w:t xml:space="preserve"> </w:t>
      </w:r>
    </w:p>
    <w:p w14:paraId="7343C75B" w14:textId="77777777" w:rsidR="00BA4D0B"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000000"/>
        </w:rPr>
      </w:pPr>
      <w:r>
        <w:rPr>
          <w:color w:val="000000"/>
        </w:rPr>
        <w:t>Council of the District of Columbia</w:t>
      </w:r>
    </w:p>
    <w:p w14:paraId="0A43DBAF" w14:textId="77777777" w:rsidR="00BA4D0B" w:rsidRDefault="00BA4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2EE51262" w14:textId="2B8FBEB6" w:rsidR="00500D5A" w:rsidRDefault="00231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t xml:space="preserve">Performance Oversight Hearing on the Office of </w:t>
      </w:r>
      <w:r w:rsidR="00500D5A">
        <w:t>Budget and Planning (OCFO)</w:t>
      </w:r>
    </w:p>
    <w:p w14:paraId="401214F3" w14:textId="4B64BB54" w:rsidR="00C3146C" w:rsidRDefault="00500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000000"/>
        </w:rPr>
      </w:pPr>
      <w:r>
        <w:t>February 21</w:t>
      </w:r>
      <w:r w:rsidR="00231D0F">
        <w:t>, 2024</w:t>
      </w:r>
    </w:p>
    <w:p w14:paraId="4ADB6177" w14:textId="4F788107" w:rsidR="00BA4D0B" w:rsidRDefault="00D17F6D" w:rsidP="00D1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70"/>
        <w:rPr>
          <w:color w:val="000000"/>
        </w:rPr>
      </w:pPr>
      <w:r>
        <w:rPr>
          <w:color w:val="000000"/>
        </w:rPr>
        <w:t xml:space="preserve">    __________________________________________________________________________________</w:t>
      </w:r>
    </w:p>
    <w:p w14:paraId="5D36F283" w14:textId="77777777" w:rsidR="00BA4D0B" w:rsidRDefault="00BA4D0B">
      <w:pPr>
        <w:ind w:firstLine="450"/>
        <w:jc w:val="center"/>
        <w:rPr>
          <w:color w:val="000000"/>
        </w:rPr>
      </w:pPr>
    </w:p>
    <w:p w14:paraId="20027517" w14:textId="671A3A28" w:rsidR="00BA4D0B" w:rsidRDefault="00C3146C" w:rsidP="00F0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Thank you for the opportunity to testify regarding the </w:t>
      </w:r>
      <w:r w:rsidR="00756CC3">
        <w:t xml:space="preserve">District of Columbia </w:t>
      </w:r>
      <w:r w:rsidR="00500D5A">
        <w:t xml:space="preserve">budget process and related </w:t>
      </w:r>
      <w:r w:rsidR="00231D0F">
        <w:t xml:space="preserve">work of the </w:t>
      </w:r>
      <w:r w:rsidR="00AE2F8E">
        <w:t xml:space="preserve">OCFO. </w:t>
      </w:r>
      <w:r>
        <w:t xml:space="preserve">I am a member of the </w:t>
      </w:r>
      <w:r w:rsidR="00A56465">
        <w:t xml:space="preserve">D.C. </w:t>
      </w:r>
      <w:r w:rsidR="00F73AFE">
        <w:t xml:space="preserve">Open Government </w:t>
      </w:r>
      <w:r>
        <w:t>Coalition board and a Ward 6 resident.</w:t>
      </w:r>
    </w:p>
    <w:p w14:paraId="790A43AD" w14:textId="77777777" w:rsidR="00026E30" w:rsidRDefault="00026E30" w:rsidP="00941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9456999" w14:textId="0B6BDE0D" w:rsidR="008A66C6" w:rsidRDefault="00D6123D" w:rsidP="00941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The Council adopts the budget and prudently must </w:t>
      </w:r>
      <w:r w:rsidR="00FA6346">
        <w:t xml:space="preserve">consider </w:t>
      </w:r>
      <w:r w:rsidR="00DB5422">
        <w:t xml:space="preserve">the </w:t>
      </w:r>
      <w:r w:rsidR="00FA6346">
        <w:t>costs of proposed actions</w:t>
      </w:r>
      <w:r>
        <w:t>.</w:t>
      </w:r>
      <w:r w:rsidR="00FA6346">
        <w:t xml:space="preserve"> </w:t>
      </w:r>
      <w:r w:rsidR="00AE2F8E">
        <w:t xml:space="preserve">Our concern is the fiscal impact statement </w:t>
      </w:r>
      <w:r w:rsidR="00D74267">
        <w:t xml:space="preserve">(FIS) </w:t>
      </w:r>
      <w:r w:rsidR="00AE2F8E">
        <w:t>process</w:t>
      </w:r>
      <w:r w:rsidR="00FA6346">
        <w:t xml:space="preserve"> used in the D.C. Council</w:t>
      </w:r>
      <w:r w:rsidR="008A66C6">
        <w:t xml:space="preserve"> as </w:t>
      </w:r>
      <w:r w:rsidR="00F07933">
        <w:t xml:space="preserve">a </w:t>
      </w:r>
      <w:r w:rsidR="008A66C6">
        <w:t>binding source</w:t>
      </w:r>
      <w:r w:rsidR="00F33E53">
        <w:t xml:space="preserve"> of cost information</w:t>
      </w:r>
      <w:r w:rsidR="00D74267">
        <w:t xml:space="preserve">. </w:t>
      </w:r>
    </w:p>
    <w:p w14:paraId="16DB1841" w14:textId="77777777" w:rsidR="008A66C6" w:rsidRDefault="008A66C6" w:rsidP="00941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25BF011" w14:textId="46ADEF35" w:rsidR="00D74267" w:rsidRDefault="00D74267" w:rsidP="00941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Permanent legislation must be accompanied by an FIS, required by D.C. Code </w:t>
      </w:r>
      <w:r w:rsidRPr="00D74267">
        <w:t>§ 1–301.47a</w:t>
      </w:r>
      <w:r w:rsidR="00AE2F8E">
        <w:t xml:space="preserve">. </w:t>
      </w:r>
      <w:r w:rsidR="00125823">
        <w:t xml:space="preserve">The FIS is to include an “estimate of the costs which will be incurred by the District as a result of the enactment of the measure in the current and each of the first four fiscal years for which the act or resolution is in effect, together with a statement of the basis for such estimate.” Statements which </w:t>
      </w:r>
      <w:r w:rsidR="00FA6346">
        <w:t xml:space="preserve">show </w:t>
      </w:r>
      <w:r w:rsidR="00125823">
        <w:t xml:space="preserve">“unbudgeted costs” have a powerful effect, </w:t>
      </w:r>
      <w:r w:rsidR="00F07933">
        <w:t>though the term is undefined in the D.C. Code.  The</w:t>
      </w:r>
      <w:r w:rsidR="00125823">
        <w:t xml:space="preserve"> proposed law </w:t>
      </w:r>
      <w:r w:rsidR="00FA6346">
        <w:t xml:space="preserve">will </w:t>
      </w:r>
      <w:r w:rsidR="008A66C6">
        <w:t xml:space="preserve">contain a section that it will </w:t>
      </w:r>
      <w:r w:rsidR="00125823">
        <w:t xml:space="preserve">not take effect until the amount needed to cover the estimate is appropriated. </w:t>
      </w:r>
    </w:p>
    <w:p w14:paraId="7BC50032" w14:textId="77777777" w:rsidR="00125823" w:rsidRDefault="00125823" w:rsidP="00941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DB4E3FB" w14:textId="49F89512" w:rsidR="009A58D2" w:rsidRDefault="006969EB" w:rsidP="00941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Our testimony is based on our </w:t>
      </w:r>
      <w:r w:rsidR="0011134D">
        <w:t xml:space="preserve">review </w:t>
      </w:r>
      <w:r>
        <w:t xml:space="preserve">of </w:t>
      </w:r>
      <w:r w:rsidR="00DB5422">
        <w:t xml:space="preserve">several </w:t>
      </w:r>
      <w:r>
        <w:t>FIS</w:t>
      </w:r>
      <w:r w:rsidR="00DB5422">
        <w:t>,</w:t>
      </w:r>
      <w:r>
        <w:t xml:space="preserve"> </w:t>
      </w:r>
      <w:r w:rsidR="007B1E38">
        <w:t xml:space="preserve">including </w:t>
      </w:r>
      <w:r>
        <w:t xml:space="preserve">examination of </w:t>
      </w:r>
      <w:r w:rsidR="00DB5422">
        <w:t xml:space="preserve">OCFO </w:t>
      </w:r>
      <w:r>
        <w:t xml:space="preserve">records obtained by Freedom of Information Act </w:t>
      </w:r>
      <w:r w:rsidR="00FD1623">
        <w:t xml:space="preserve">(FOIA) </w:t>
      </w:r>
      <w:r>
        <w:t xml:space="preserve">request. </w:t>
      </w:r>
      <w:r w:rsidR="00125823">
        <w:t xml:space="preserve">We </w:t>
      </w:r>
      <w:r w:rsidR="00DB5422">
        <w:t xml:space="preserve">initially </w:t>
      </w:r>
      <w:r w:rsidR="00125823">
        <w:t xml:space="preserve">reviewed the FIS for the Comprehensive Policing and </w:t>
      </w:r>
      <w:r w:rsidR="0049073C">
        <w:t>Justice Reform</w:t>
      </w:r>
      <w:r w:rsidR="00125823">
        <w:t xml:space="preserve"> Amendment Act of 2022 (the “police reform act”), Law 24-0345 (Bill B24-320, as amended)</w:t>
      </w:r>
      <w:r w:rsidR="00DB5422">
        <w:t>,</w:t>
      </w:r>
      <w:r w:rsidR="0011134D">
        <w:t xml:space="preserve">; we later reviewed </w:t>
      </w:r>
      <w:r w:rsidR="00DB5422">
        <w:t>another case.</w:t>
      </w:r>
      <w:r w:rsidR="009A58D2">
        <w:rPr>
          <w:rStyle w:val="FootnoteReference"/>
        </w:rPr>
        <w:footnoteReference w:id="1"/>
      </w:r>
      <w:r w:rsidR="00125823">
        <w:t xml:space="preserve"> </w:t>
      </w:r>
      <w:r w:rsidR="00E8221F">
        <w:t xml:space="preserve">The FIS estimated </w:t>
      </w:r>
      <w:r>
        <w:t xml:space="preserve">cost impacts from only a handful of provisions of the 26-subtitle </w:t>
      </w:r>
      <w:r w:rsidR="00FD1623">
        <w:t xml:space="preserve">police reform </w:t>
      </w:r>
      <w:r>
        <w:t xml:space="preserve">bill: </w:t>
      </w:r>
      <w:r w:rsidR="0011134D">
        <w:t xml:space="preserve">mostly for expanded transparency, </w:t>
      </w:r>
      <w:r w:rsidR="00E8221F">
        <w:t xml:space="preserve">11 new staff needed, nine at the Metropolitan Police Department (MPD) and two at the Office of Police Complaints (OPC), at a four-year cost just under $5 million. </w:t>
      </w:r>
      <w:r w:rsidR="009A58D2">
        <w:t xml:space="preserve"> </w:t>
      </w:r>
      <w:r w:rsidR="00A11AA0">
        <w:t>We conclude that:</w:t>
      </w:r>
    </w:p>
    <w:p w14:paraId="36906D10" w14:textId="77777777" w:rsidR="0011134D" w:rsidRDefault="0011134D" w:rsidP="00941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45C4B13" w14:textId="075AAB74" w:rsidR="006969EB" w:rsidRDefault="00125823" w:rsidP="0011134D">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r>
        <w:t>OCFO provided no basis for the estimate in the statement</w:t>
      </w:r>
      <w:r w:rsidR="00F33E53">
        <w:t>.</w:t>
      </w:r>
    </w:p>
    <w:p w14:paraId="09E17194" w14:textId="14871D28" w:rsidR="00125823" w:rsidRDefault="006969EB" w:rsidP="0011134D">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r>
        <w:t>OCFO did</w:t>
      </w:r>
      <w:r w:rsidR="00FD1623">
        <w:t xml:space="preserve"> not </w:t>
      </w:r>
      <w:r>
        <w:t xml:space="preserve">follow its own </w:t>
      </w:r>
      <w:r w:rsidR="0011134D">
        <w:t xml:space="preserve">data and review standards to assure </w:t>
      </w:r>
      <w:r>
        <w:t>sound estimates</w:t>
      </w:r>
      <w:r w:rsidR="00F33E53">
        <w:t>.</w:t>
      </w:r>
      <w:r w:rsidR="009A58D2">
        <w:t xml:space="preserve"> </w:t>
      </w:r>
    </w:p>
    <w:p w14:paraId="38C18D1F" w14:textId="3657B1D0" w:rsidR="006969EB" w:rsidRDefault="006969EB" w:rsidP="0011134D">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r>
        <w:t>Reliance on executive estimate alone is unsound</w:t>
      </w:r>
      <w:r w:rsidR="00F33E53">
        <w:t>.</w:t>
      </w:r>
    </w:p>
    <w:p w14:paraId="6023155D" w14:textId="7BB7FB91" w:rsidR="006969EB" w:rsidRDefault="006969EB" w:rsidP="0011134D">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r>
        <w:t>Evaluation of a sample of FIS cases is needed</w:t>
      </w:r>
      <w:r w:rsidR="00F33E53">
        <w:t>.</w:t>
      </w:r>
    </w:p>
    <w:p w14:paraId="060E59A4" w14:textId="55992F4E" w:rsidR="006969EB" w:rsidRDefault="006969EB" w:rsidP="0011134D">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r>
        <w:t>Revision of the FIS process should be considered</w:t>
      </w:r>
      <w:r w:rsidR="00A11AA0">
        <w:t>.</w:t>
      </w:r>
      <w:r>
        <w:t xml:space="preserve"> </w:t>
      </w:r>
    </w:p>
    <w:p w14:paraId="3EF7E515" w14:textId="77777777" w:rsidR="0011134D" w:rsidRDefault="0011134D" w:rsidP="0011134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30"/>
      </w:pPr>
    </w:p>
    <w:p w14:paraId="6ED0956C" w14:textId="77777777" w:rsidR="0011134D" w:rsidRDefault="0011134D" w:rsidP="0011134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30"/>
      </w:pPr>
    </w:p>
    <w:p w14:paraId="253F6E4E" w14:textId="73FF930A" w:rsidR="00B90243" w:rsidRPr="00B90243" w:rsidRDefault="00B90243" w:rsidP="00B90243">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sidRPr="00B90243">
        <w:rPr>
          <w:b/>
          <w:bCs/>
        </w:rPr>
        <w:lastRenderedPageBreak/>
        <w:t>OCFO provided no basis for the estimate in the statement</w:t>
      </w:r>
      <w:r>
        <w:rPr>
          <w:b/>
          <w:bCs/>
        </w:rPr>
        <w:t>.</w:t>
      </w:r>
    </w:p>
    <w:p w14:paraId="02230A4C" w14:textId="77777777" w:rsidR="00B90243" w:rsidRDefault="00B90243" w:rsidP="00B90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6B34E1B" w14:textId="63A57461" w:rsidR="00B90243" w:rsidRDefault="00B90243" w:rsidP="00B90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The cost estimate </w:t>
      </w:r>
      <w:r w:rsidR="00F33E53">
        <w:t xml:space="preserve">in this case is contained in a few </w:t>
      </w:r>
      <w:r>
        <w:t>conclusory sentences -- “an attorney is required” or “MPD will need</w:t>
      </w:r>
      <w:r w:rsidR="0011134D">
        <w:t>.</w:t>
      </w:r>
      <w:r>
        <w:t xml:space="preserve">” </w:t>
      </w:r>
      <w:r w:rsidR="0011134D">
        <w:t xml:space="preserve">The FIS cites no </w:t>
      </w:r>
      <w:r w:rsidR="00FD1623">
        <w:t xml:space="preserve">source nor any </w:t>
      </w:r>
      <w:r>
        <w:t xml:space="preserve">evidence. This appears to be a violation of the statute which requires </w:t>
      </w:r>
      <w:r w:rsidR="007B353A">
        <w:t>“a statement of the basis for such estimate.”</w:t>
      </w:r>
      <w:r w:rsidR="00F9156D">
        <w:rPr>
          <w:rStyle w:val="FootnoteReference"/>
        </w:rPr>
        <w:footnoteReference w:id="2"/>
      </w:r>
    </w:p>
    <w:p w14:paraId="76E4EF15" w14:textId="77777777" w:rsidR="00FA6346" w:rsidRDefault="00FA6346" w:rsidP="00B90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308C8F0" w14:textId="775CAF9D" w:rsidR="00FA6346" w:rsidRPr="00FA6346" w:rsidRDefault="00FA6346" w:rsidP="00FA634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sidRPr="00FA6346">
        <w:rPr>
          <w:b/>
          <w:bCs/>
        </w:rPr>
        <w:t xml:space="preserve">OCFO didn’t follow its own research </w:t>
      </w:r>
      <w:r w:rsidR="00E41755">
        <w:rPr>
          <w:b/>
          <w:bCs/>
        </w:rPr>
        <w:t xml:space="preserve">and review </w:t>
      </w:r>
      <w:r w:rsidRPr="00FA6346">
        <w:rPr>
          <w:b/>
          <w:bCs/>
        </w:rPr>
        <w:t>requirements intended to assure sound estimates</w:t>
      </w:r>
      <w:r>
        <w:rPr>
          <w:b/>
          <w:bCs/>
        </w:rPr>
        <w:t>.</w:t>
      </w:r>
      <w:r w:rsidRPr="00FA6346">
        <w:rPr>
          <w:b/>
          <w:bCs/>
        </w:rPr>
        <w:t xml:space="preserve"> </w:t>
      </w:r>
    </w:p>
    <w:p w14:paraId="0167FB69" w14:textId="2E857572" w:rsidR="00FA6346" w:rsidRDefault="00FA6346" w:rsidP="00FA634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p>
    <w:p w14:paraId="3F1BA1AD" w14:textId="648D40C2" w:rsidR="00F33E53" w:rsidRDefault="00E41755" w:rsidP="008A66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pPr>
      <w:r w:rsidRPr="00E41755">
        <w:rPr>
          <w:b/>
          <w:bCs/>
        </w:rPr>
        <w:t>Research.</w:t>
      </w:r>
      <w:r>
        <w:t xml:space="preserve"> </w:t>
      </w:r>
      <w:r w:rsidR="00FD1623">
        <w:t xml:space="preserve">In response to our FOIA request, </w:t>
      </w:r>
      <w:r w:rsidR="00610233">
        <w:t xml:space="preserve">OCFO provided its file of supporting materials. </w:t>
      </w:r>
      <w:r w:rsidR="00F33E53">
        <w:t>The total contents were</w:t>
      </w:r>
      <w:r w:rsidR="00610233">
        <w:t xml:space="preserve"> </w:t>
      </w:r>
      <w:r w:rsidR="00F33E53">
        <w:t xml:space="preserve">a handful of </w:t>
      </w:r>
      <w:r w:rsidR="00610233">
        <w:t>emails from the executive agencies MPD and OPC</w:t>
      </w:r>
      <w:r w:rsidR="00F33E53">
        <w:t>.</w:t>
      </w:r>
      <w:r w:rsidR="0072162C">
        <w:rPr>
          <w:rStyle w:val="FootnoteReference"/>
        </w:rPr>
        <w:footnoteReference w:id="3"/>
      </w:r>
      <w:r w:rsidR="0072162C">
        <w:t xml:space="preserve"> </w:t>
      </w:r>
      <w:r w:rsidR="00B14308">
        <w:t>Thus,</w:t>
      </w:r>
      <w:r w:rsidR="00610233">
        <w:t xml:space="preserve"> </w:t>
      </w:r>
      <w:r w:rsidR="00F33E53">
        <w:t xml:space="preserve">the Council and the public has no idea where the dollar figures come from—except that they are from the executive branch.  </w:t>
      </w:r>
    </w:p>
    <w:p w14:paraId="487AC7C7" w14:textId="77777777" w:rsidR="00F33E53" w:rsidRDefault="00F33E53" w:rsidP="008A66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pPr>
    </w:p>
    <w:p w14:paraId="3884EBA1" w14:textId="6DB061EF" w:rsidR="00E41755" w:rsidRDefault="00F54254" w:rsidP="00E4175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pPr>
      <w:r>
        <w:t xml:space="preserve">This </w:t>
      </w:r>
      <w:r w:rsidR="00F33E53">
        <w:t xml:space="preserve">factfinding </w:t>
      </w:r>
      <w:r>
        <w:t>appears to violate OCFO internal control standards for research</w:t>
      </w:r>
      <w:r w:rsidR="000A4DC5">
        <w:t xml:space="preserve"> and reporting.</w:t>
      </w:r>
      <w:r>
        <w:rPr>
          <w:rStyle w:val="FootnoteReference"/>
        </w:rPr>
        <w:footnoteReference w:id="4"/>
      </w:r>
      <w:r w:rsidR="000A4DC5">
        <w:t xml:space="preserve"> </w:t>
      </w:r>
      <w:r w:rsidR="00E41755">
        <w:t xml:space="preserve">Internal guidelines for preparing an FIS </w:t>
      </w:r>
      <w:r w:rsidR="00FC6C80">
        <w:t xml:space="preserve">do </w:t>
      </w:r>
      <w:r w:rsidR="00E41755">
        <w:t xml:space="preserve">require the analyst to coordinate with District agencies. </w:t>
      </w:r>
      <w:r w:rsidR="00FC6C80">
        <w:t>But a</w:t>
      </w:r>
      <w:r w:rsidR="00E41755">
        <w:t>lso, to “work[] with external experts and other state and local governments, especially for the analysis of new program proposals with which outside entities may have experience.” And the FIS must have “a discussion of the assumptions underlying the analysis and a description of the methodology used in the analysis.”</w:t>
      </w:r>
      <w:r w:rsidR="009F2F9B">
        <w:t xml:space="preserve"> </w:t>
      </w:r>
    </w:p>
    <w:p w14:paraId="130F6164" w14:textId="77777777" w:rsidR="00E41755" w:rsidRDefault="00E41755" w:rsidP="008A66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pPr>
    </w:p>
    <w:p w14:paraId="160F0679" w14:textId="3E0EDD9C" w:rsidR="000702D3" w:rsidRDefault="000702D3" w:rsidP="008A66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pPr>
      <w:r>
        <w:t>Th</w:t>
      </w:r>
      <w:r w:rsidR="009F2F9B">
        <w:t>e</w:t>
      </w:r>
      <w:r w:rsidR="00183A76">
        <w:t>se</w:t>
      </w:r>
      <w:r w:rsidR="009F2F9B">
        <w:t xml:space="preserve"> internal standards </w:t>
      </w:r>
      <w:r w:rsidR="00FD1623">
        <w:t xml:space="preserve">require </w:t>
      </w:r>
      <w:r>
        <w:t xml:space="preserve">a broad search for relevant experience—from literature, </w:t>
      </w:r>
      <w:r w:rsidR="002A6736">
        <w:t>experts, and other states with</w:t>
      </w:r>
      <w:r>
        <w:t xml:space="preserve"> legislation </w:t>
      </w:r>
      <w:r w:rsidR="002A6736">
        <w:t>like</w:t>
      </w:r>
      <w:r>
        <w:t xml:space="preserve"> the D.C. proposal at issue. </w:t>
      </w:r>
      <w:r w:rsidR="00E41755">
        <w:t>In th</w:t>
      </w:r>
      <w:r w:rsidR="00183A76">
        <w:t>e</w:t>
      </w:r>
      <w:r w:rsidR="00E41755">
        <w:t xml:space="preserve"> case</w:t>
      </w:r>
      <w:r w:rsidR="00183A76">
        <w:t xml:space="preserve"> of the proposed expanded FOIA access to police records</w:t>
      </w:r>
      <w:r w:rsidR="00E41755">
        <w:t>, C</w:t>
      </w:r>
      <w:r>
        <w:t xml:space="preserve">alifornia, New York, and Maryland have all </w:t>
      </w:r>
      <w:r w:rsidR="00183A76">
        <w:t>done so</w:t>
      </w:r>
      <w:r>
        <w:t xml:space="preserve">; their experience </w:t>
      </w:r>
      <w:r w:rsidR="00FD1623">
        <w:t xml:space="preserve">with demand and costs </w:t>
      </w:r>
      <w:r>
        <w:t>wou</w:t>
      </w:r>
      <w:r w:rsidR="00E41755">
        <w:t>l</w:t>
      </w:r>
      <w:r>
        <w:t>d have been relevant. The OCFO record shows no such research.</w:t>
      </w:r>
      <w:r w:rsidR="009F2F9B">
        <w:rPr>
          <w:rStyle w:val="FootnoteReference"/>
        </w:rPr>
        <w:footnoteReference w:id="5"/>
      </w:r>
      <w:r>
        <w:t xml:space="preserve"> </w:t>
      </w:r>
    </w:p>
    <w:p w14:paraId="03044A4B" w14:textId="77777777" w:rsidR="00E41755" w:rsidRDefault="00E41755" w:rsidP="008A66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pPr>
    </w:p>
    <w:p w14:paraId="3FDF7BDA" w14:textId="3A4385A3" w:rsidR="00E41755" w:rsidRDefault="00E41755" w:rsidP="008A66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pPr>
      <w:r>
        <w:t xml:space="preserve">In oversight testimony </w:t>
      </w:r>
      <w:r w:rsidR="002A6736">
        <w:t>on February</w:t>
      </w:r>
      <w:r>
        <w:t xml:space="preserve"> 14, </w:t>
      </w:r>
      <w:r w:rsidR="00FC6C80">
        <w:t xml:space="preserve">2024, </w:t>
      </w:r>
      <w:r>
        <w:t xml:space="preserve">addressing general research protocols to assure sound estimates, an OCFO official referred to other steps such as challenging agency figures, consulting agency fiscal officers who are OCFO staff and intended to be independent of the agency, or reviewing estimates </w:t>
      </w:r>
      <w:r>
        <w:lastRenderedPageBreak/>
        <w:t xml:space="preserve">later to check whether agency estimates hold up as circumstances change. </w:t>
      </w:r>
      <w:r w:rsidR="00FC6C80">
        <w:t xml:space="preserve">There is no evidence in the record of </w:t>
      </w:r>
      <w:r>
        <w:t>any of these steps.</w:t>
      </w:r>
      <w:r w:rsidR="009F2F9B">
        <w:rPr>
          <w:rStyle w:val="FootnoteReference"/>
        </w:rPr>
        <w:footnoteReference w:id="6"/>
      </w:r>
      <w:r>
        <w:t xml:space="preserve"> </w:t>
      </w:r>
    </w:p>
    <w:p w14:paraId="6FE2E00F" w14:textId="77777777" w:rsidR="000702D3" w:rsidRDefault="000702D3" w:rsidP="008A66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pPr>
    </w:p>
    <w:p w14:paraId="64D3A894" w14:textId="77777777" w:rsidR="00FC6C80" w:rsidRDefault="00E41755" w:rsidP="008A66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pPr>
      <w:r w:rsidRPr="00E41755">
        <w:rPr>
          <w:b/>
          <w:bCs/>
        </w:rPr>
        <w:t>Review</w:t>
      </w:r>
      <w:r>
        <w:t xml:space="preserve">. </w:t>
      </w:r>
      <w:r w:rsidR="00FC6C80">
        <w:t xml:space="preserve">According to the same OCFO Manual, quality control is provided by four required reviews: Director of Fiscal and Legislative Affairs, Deputy CFO, Office of the General Counsel, and Chief of Staff (required where the FIS concludes funds are insufficient).  </w:t>
      </w:r>
    </w:p>
    <w:p w14:paraId="6FED75AB" w14:textId="77777777" w:rsidR="00FC6C80" w:rsidRDefault="00FC6C80" w:rsidP="008A66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pPr>
    </w:p>
    <w:p w14:paraId="3947CAE8" w14:textId="5322BEFF" w:rsidR="00F54254" w:rsidRDefault="00FD1623" w:rsidP="008A66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pPr>
      <w:r>
        <w:t xml:space="preserve">An approval checklist </w:t>
      </w:r>
      <w:r w:rsidR="00072FC1">
        <w:t xml:space="preserve">provided by OCFO </w:t>
      </w:r>
      <w:r>
        <w:t xml:space="preserve">is </w:t>
      </w:r>
      <w:r w:rsidR="00EF0EA4">
        <w:t xml:space="preserve">unclear if all four required reviews were done. Reviewers got the lengthy FIS the morning of the </w:t>
      </w:r>
      <w:r w:rsidR="00D42CD2">
        <w:t xml:space="preserve">same </w:t>
      </w:r>
      <w:r w:rsidR="00EF0EA4">
        <w:t>day it was sent</w:t>
      </w:r>
      <w:r w:rsidR="00FC6C80">
        <w:t xml:space="preserve"> to the Council</w:t>
      </w:r>
      <w:r w:rsidR="00D42CD2">
        <w:t xml:space="preserve"> and the committee marked up the bill</w:t>
      </w:r>
      <w:r w:rsidR="00EF0EA4">
        <w:t xml:space="preserve">, suggesting </w:t>
      </w:r>
      <w:r w:rsidR="00D42CD2">
        <w:t xml:space="preserve">no opportunity for exchange. </w:t>
      </w:r>
      <w:r w:rsidR="000A4DC5">
        <w:t xml:space="preserve"> </w:t>
      </w:r>
    </w:p>
    <w:p w14:paraId="3C9673D5" w14:textId="77777777" w:rsidR="00F54254" w:rsidRDefault="00F54254" w:rsidP="008A66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pPr>
    </w:p>
    <w:p w14:paraId="3A9A25BF" w14:textId="79FA5EDD" w:rsidR="00B90243" w:rsidRDefault="00B90243" w:rsidP="000A4DC5">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sidRPr="007A20B2">
        <w:rPr>
          <w:b/>
          <w:bCs/>
        </w:rPr>
        <w:t>Reliance on executive estimate alone is unsound</w:t>
      </w:r>
      <w:r w:rsidR="007A20B2" w:rsidRPr="007A20B2">
        <w:rPr>
          <w:b/>
          <w:bCs/>
        </w:rPr>
        <w:t>.</w:t>
      </w:r>
    </w:p>
    <w:p w14:paraId="5F26F715" w14:textId="77777777" w:rsidR="007A20B2" w:rsidRDefault="007A20B2" w:rsidP="007A2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14:paraId="19F0269E" w14:textId="41057734" w:rsidR="005C6738" w:rsidRDefault="00FC6C80" w:rsidP="007A2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Police officials, the police union, and the mayor for years have interpreted </w:t>
      </w:r>
      <w:r w:rsidR="00B328C9">
        <w:t xml:space="preserve">privacy exemptions in the D.C. public records </w:t>
      </w:r>
      <w:r>
        <w:t xml:space="preserve">law to deny public access to police discipline records. They opposed the Police Reform </w:t>
      </w:r>
      <w:r w:rsidR="005C6738">
        <w:t>Commission's proposals to enlarge that access</w:t>
      </w:r>
      <w:r w:rsidR="00B328C9">
        <w:t xml:space="preserve"> and </w:t>
      </w:r>
      <w:r w:rsidR="005C6738">
        <w:t xml:space="preserve">the </w:t>
      </w:r>
      <w:r w:rsidR="00B328C9">
        <w:t xml:space="preserve">2022 </w:t>
      </w:r>
      <w:r w:rsidR="005C6738">
        <w:t xml:space="preserve">legislation </w:t>
      </w:r>
      <w:r w:rsidR="00B328C9">
        <w:t xml:space="preserve">doing so, and they recently proposed to delete the 2022 provisions.  </w:t>
      </w:r>
      <w:r w:rsidR="005C6738">
        <w:t xml:space="preserve"> </w:t>
      </w:r>
    </w:p>
    <w:p w14:paraId="637A4DCE" w14:textId="77777777" w:rsidR="005C6738" w:rsidRDefault="005C6738" w:rsidP="007A2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C3A6781" w14:textId="1CE95739" w:rsidR="00D13DC6" w:rsidRDefault="005C6738" w:rsidP="007A2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w:t>
      </w:r>
      <w:r w:rsidR="007A20B2">
        <w:t xml:space="preserve">he credibility of the FIS is undercut when the only </w:t>
      </w:r>
      <w:r>
        <w:t xml:space="preserve">research for </w:t>
      </w:r>
      <w:r w:rsidR="007A20B2">
        <w:t xml:space="preserve">a cost estimate is </w:t>
      </w:r>
      <w:r>
        <w:t xml:space="preserve">to consult the very same agency that opposes the law. </w:t>
      </w:r>
      <w:r w:rsidR="00CA27E2">
        <w:t>At the very least, the FIS reporting standard required identifying the assumptions</w:t>
      </w:r>
      <w:r w:rsidR="00D13DC6">
        <w:t xml:space="preserve"> needed to reach the estimate</w:t>
      </w:r>
      <w:r w:rsidR="00B328C9">
        <w:t xml:space="preserve"> (that largely rests on added staff needs)</w:t>
      </w:r>
      <w:r>
        <w:t xml:space="preserve">, </w:t>
      </w:r>
      <w:r w:rsidR="00D13DC6">
        <w:t xml:space="preserve">for example, </w:t>
      </w:r>
      <w:r>
        <w:t xml:space="preserve">the added </w:t>
      </w:r>
      <w:r w:rsidR="00B328C9">
        <w:t xml:space="preserve">request volume and staff productivity. </w:t>
      </w:r>
      <w:r w:rsidR="00053E98">
        <w:t xml:space="preserve">Nothing in the research record or the published FIS shows </w:t>
      </w:r>
      <w:r w:rsidR="00B328C9">
        <w:t xml:space="preserve">any </w:t>
      </w:r>
      <w:r w:rsidR="00053E98">
        <w:t>analysis of resources needed to comply.</w:t>
      </w:r>
      <w:r w:rsidR="00B328C9">
        <w:rPr>
          <w:rStyle w:val="FootnoteReference"/>
        </w:rPr>
        <w:footnoteReference w:id="7"/>
      </w:r>
      <w:r w:rsidR="00053E98">
        <w:t xml:space="preserve"> </w:t>
      </w:r>
    </w:p>
    <w:p w14:paraId="48038014" w14:textId="03BA4E4B" w:rsidR="00D13DC6" w:rsidRDefault="00D13DC6" w:rsidP="007A2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55443AD" w14:textId="37A1749D" w:rsidR="0017782A" w:rsidRDefault="007A20B2" w:rsidP="007A2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Credibility is furt</w:t>
      </w:r>
      <w:r w:rsidR="00CA27E2">
        <w:t>h</w:t>
      </w:r>
      <w:r>
        <w:t xml:space="preserve">er undercut when the OCFO </w:t>
      </w:r>
      <w:r w:rsidR="00CA27E2">
        <w:t xml:space="preserve">entirely redacts </w:t>
      </w:r>
      <w:r w:rsidR="005C6738">
        <w:t>whatever</w:t>
      </w:r>
      <w:r w:rsidR="00CA27E2">
        <w:t xml:space="preserve"> facts </w:t>
      </w:r>
      <w:r w:rsidR="005C6738">
        <w:t xml:space="preserve">were </w:t>
      </w:r>
      <w:r w:rsidR="00CA27E2">
        <w:t>provided by the executive that appear to be the only basis for the conclusion about “unbudgeted costs.”</w:t>
      </w:r>
    </w:p>
    <w:p w14:paraId="10E3B9C4" w14:textId="77777777" w:rsidR="0017782A" w:rsidRDefault="0017782A" w:rsidP="007A2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58251EF" w14:textId="620A906D" w:rsidR="007A20B2" w:rsidRDefault="008C7998" w:rsidP="007A2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Officials </w:t>
      </w:r>
      <w:r w:rsidR="0017782A">
        <w:t>may be</w:t>
      </w:r>
      <w:r>
        <w:t xml:space="preserve"> tempted to </w:t>
      </w:r>
      <w:r w:rsidR="00ED5C84">
        <w:t xml:space="preserve">defeat plans they oppose by calling them too expensive – confident </w:t>
      </w:r>
      <w:r w:rsidR="005C6738">
        <w:t xml:space="preserve">few listeners </w:t>
      </w:r>
      <w:r w:rsidR="00ED5C84">
        <w:t>will be</w:t>
      </w:r>
      <w:r w:rsidR="005C6738">
        <w:t xml:space="preserve"> able to challenge them. The mayor </w:t>
      </w:r>
      <w:r w:rsidR="00053E98">
        <w:t xml:space="preserve">in </w:t>
      </w:r>
      <w:r w:rsidR="00D13DC6">
        <w:t xml:space="preserve">2015 argued </w:t>
      </w:r>
      <w:r w:rsidR="00ED5C84">
        <w:t xml:space="preserve">against public access to </w:t>
      </w:r>
      <w:r w:rsidR="00D13DC6">
        <w:t xml:space="preserve">video from the </w:t>
      </w:r>
      <w:r w:rsidR="00ED5C84">
        <w:t>proposed</w:t>
      </w:r>
      <w:r w:rsidR="00D13DC6">
        <w:t xml:space="preserve"> MPD body-worn cameras with a prediction of enormous costs</w:t>
      </w:r>
      <w:r w:rsidR="00ED5C84">
        <w:t>--</w:t>
      </w:r>
      <w:r w:rsidR="00D13DC6">
        <w:t>false claim</w:t>
      </w:r>
      <w:r w:rsidR="00ED5C84">
        <w:t>s</w:t>
      </w:r>
      <w:r w:rsidR="00053E98">
        <w:t xml:space="preserve"> </w:t>
      </w:r>
      <w:r w:rsidR="00ED5C84">
        <w:t xml:space="preserve">that law-firm experts costing </w:t>
      </w:r>
      <w:r w:rsidR="00D13DC6">
        <w:t xml:space="preserve">$600 per hour would be needed to review the </w:t>
      </w:r>
      <w:r>
        <w:t>video before release</w:t>
      </w:r>
      <w:r w:rsidR="00053E98">
        <w:t>.</w:t>
      </w:r>
      <w:r w:rsidR="005C6738">
        <w:t xml:space="preserve"> N</w:t>
      </w:r>
      <w:r w:rsidR="0017782A">
        <w:t xml:space="preserve">owhere in the nation was there experience at that time to accurately forecast </w:t>
      </w:r>
      <w:r w:rsidR="00D13DC6">
        <w:t xml:space="preserve">either </w:t>
      </w:r>
      <w:r w:rsidR="0017782A">
        <w:t xml:space="preserve">public demand or </w:t>
      </w:r>
      <w:r w:rsidR="00D13DC6">
        <w:t xml:space="preserve">the </w:t>
      </w:r>
      <w:r w:rsidR="0017782A">
        <w:t>costs</w:t>
      </w:r>
      <w:r w:rsidR="00D13DC6">
        <w:t xml:space="preserve"> of satisfying it</w:t>
      </w:r>
      <w:r w:rsidR="0017782A">
        <w:t>. T</w:t>
      </w:r>
      <w:r>
        <w:t xml:space="preserve">he Council </w:t>
      </w:r>
      <w:r w:rsidR="00ED5C84">
        <w:t xml:space="preserve">was undeterred and </w:t>
      </w:r>
      <w:r>
        <w:t xml:space="preserve">mandated both access and </w:t>
      </w:r>
      <w:r w:rsidR="00053E98">
        <w:t>regular reports on request volume and costs of compliance. T</w:t>
      </w:r>
      <w:r w:rsidR="005C6738">
        <w:t>h</w:t>
      </w:r>
      <w:r w:rsidR="00D13DC6">
        <w:t xml:space="preserve">e resulting data </w:t>
      </w:r>
      <w:r w:rsidR="005C6738">
        <w:t xml:space="preserve">have refuted the predictions </w:t>
      </w:r>
      <w:r w:rsidR="00D13DC6">
        <w:t>ever since.</w:t>
      </w:r>
      <w:r w:rsidR="0017782A">
        <w:rPr>
          <w:rStyle w:val="FootnoteReference"/>
        </w:rPr>
        <w:footnoteReference w:id="8"/>
      </w:r>
    </w:p>
    <w:p w14:paraId="46A6EB93" w14:textId="7B610368" w:rsidR="00B90243" w:rsidRDefault="00CA27E2" w:rsidP="00CA27E2">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sidRPr="00CA27E2">
        <w:rPr>
          <w:b/>
          <w:bCs/>
        </w:rPr>
        <w:lastRenderedPageBreak/>
        <w:t>Ev</w:t>
      </w:r>
      <w:r w:rsidR="00B90243" w:rsidRPr="00CA27E2">
        <w:rPr>
          <w:b/>
          <w:bCs/>
        </w:rPr>
        <w:t>aluation of a sample of FIS cases is needed</w:t>
      </w:r>
      <w:r>
        <w:rPr>
          <w:b/>
          <w:bCs/>
        </w:rPr>
        <w:t>.</w:t>
      </w:r>
    </w:p>
    <w:p w14:paraId="2458422D" w14:textId="77777777" w:rsidR="00CA27E2" w:rsidRDefault="00CA27E2" w:rsidP="00CA2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14:paraId="59D4C50E" w14:textId="6F6B9497" w:rsidR="00DE2C6E" w:rsidRDefault="00CA27E2" w:rsidP="00CA2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CA27E2">
        <w:t>The FIS</w:t>
      </w:r>
      <w:r>
        <w:t xml:space="preserve"> is an exercise in prediction, forecasting uncertain future events</w:t>
      </w:r>
      <w:r w:rsidR="00D13DC6">
        <w:t xml:space="preserve">; </w:t>
      </w:r>
      <w:r w:rsidR="00DE2C6E">
        <w:t>regular evaluation of methods and results is essential.</w:t>
      </w:r>
      <w:r w:rsidR="003D2D88">
        <w:rPr>
          <w:rStyle w:val="FootnoteReference"/>
        </w:rPr>
        <w:footnoteReference w:id="9"/>
      </w:r>
      <w:r>
        <w:t xml:space="preserve"> </w:t>
      </w:r>
      <w:r w:rsidR="00DE3860">
        <w:t xml:space="preserve">Council members and staff have repeated to us the need for evaluation of FIS methods and Council use of the results, offering many further examples of problems we recounted above. </w:t>
      </w:r>
    </w:p>
    <w:p w14:paraId="15373B79" w14:textId="77777777" w:rsidR="00DE3860" w:rsidRDefault="00DE3860" w:rsidP="00CA2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0C0D84C" w14:textId="0674C462" w:rsidR="00F24E73" w:rsidRDefault="00DE3860" w:rsidP="00296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We offer a second case study of legislation that was first considered over a decade ago to expand insurance</w:t>
      </w:r>
      <w:r w:rsidR="00DE2C6E">
        <w:t xml:space="preserve"> for Fire and Emergency Medical Services </w:t>
      </w:r>
      <w:r w:rsidR="00296A74">
        <w:t xml:space="preserve">(FEMS) </w:t>
      </w:r>
      <w:r w:rsidR="00DE2C6E">
        <w:t>employees’ work-related illnesses</w:t>
      </w:r>
      <w:r w:rsidR="00296A74">
        <w:t>.</w:t>
      </w:r>
      <w:r w:rsidR="00DE2C6E">
        <w:t xml:space="preserve"> </w:t>
      </w:r>
      <w:r w:rsidR="005414EA">
        <w:t xml:space="preserve">The proposal </w:t>
      </w:r>
      <w:r w:rsidR="00F24E73">
        <w:t xml:space="preserve">eventually passed in 2012 </w:t>
      </w:r>
      <w:r w:rsidR="00001361">
        <w:t>(</w:t>
      </w:r>
      <w:r w:rsidR="00F24E73">
        <w:t>subject to appropriations</w:t>
      </w:r>
      <w:r w:rsidR="00001361">
        <w:t>—see below)</w:t>
      </w:r>
      <w:r w:rsidR="00F24E73">
        <w:t xml:space="preserve"> and created</w:t>
      </w:r>
      <w:r w:rsidR="005414EA">
        <w:t xml:space="preserve"> </w:t>
      </w:r>
      <w:r w:rsidR="00296A74">
        <w:t>a presumption that FEMS personnel who are diagnosed with diseases enumerated in the act (certain chronic illness</w:t>
      </w:r>
      <w:r w:rsidR="00053E98">
        <w:t>es</w:t>
      </w:r>
      <w:r w:rsidR="00296A74">
        <w:t xml:space="preserve">, cancers, and infectious diseases) have an occupational disease that was suffered in the line of duty and are thus entitled, upon meeting certain qualifications, to work in a limited-duty status or to non-chargeable medical leave and administrative pay. </w:t>
      </w:r>
      <w:r w:rsidR="005414EA">
        <w:t xml:space="preserve">Under the proposed law, the District would </w:t>
      </w:r>
      <w:r w:rsidR="00296A74">
        <w:t xml:space="preserve">also </w:t>
      </w:r>
      <w:r w:rsidR="005414EA">
        <w:t xml:space="preserve">cover the full cost of any medical treatment related to a </w:t>
      </w:r>
      <w:r w:rsidR="00296A74">
        <w:t>covered</w:t>
      </w:r>
      <w:r w:rsidR="005414EA">
        <w:t xml:space="preserve"> injury or illness. </w:t>
      </w:r>
    </w:p>
    <w:p w14:paraId="7C06C0FF" w14:textId="77777777" w:rsidR="00F24E73" w:rsidRDefault="00F24E73" w:rsidP="00296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1DB1E12" w14:textId="606A3829" w:rsidR="007231CD" w:rsidRDefault="000362BA" w:rsidP="00296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A fiscal estimate </w:t>
      </w:r>
      <w:r w:rsidR="00296A74">
        <w:t>thus r</w:t>
      </w:r>
      <w:r>
        <w:t xml:space="preserve">equired </w:t>
      </w:r>
      <w:r w:rsidR="007231CD">
        <w:t xml:space="preserve">actuarial </w:t>
      </w:r>
      <w:r>
        <w:t>analy</w:t>
      </w:r>
      <w:r w:rsidR="007231CD">
        <w:t>sis of</w:t>
      </w:r>
      <w:r>
        <w:t xml:space="preserve"> risky fire and </w:t>
      </w:r>
      <w:r w:rsidR="006674B3">
        <w:t>emergency medical</w:t>
      </w:r>
      <w:r>
        <w:t xml:space="preserve"> work to predict how many new claims </w:t>
      </w:r>
      <w:r w:rsidR="007231CD">
        <w:t xml:space="preserve">would be presented </w:t>
      </w:r>
      <w:r>
        <w:t>for a wide variety of illness</w:t>
      </w:r>
      <w:r w:rsidR="00310860">
        <w:t>es</w:t>
      </w:r>
      <w:r>
        <w:t xml:space="preserve"> and injur</w:t>
      </w:r>
      <w:r w:rsidR="00310860">
        <w:t>ies</w:t>
      </w:r>
      <w:r>
        <w:t xml:space="preserve"> </w:t>
      </w:r>
      <w:r w:rsidR="007231CD">
        <w:t xml:space="preserve">in the three covered categories </w:t>
      </w:r>
      <w:r>
        <w:t xml:space="preserve">and </w:t>
      </w:r>
      <w:r w:rsidR="00001361">
        <w:t xml:space="preserve">to estimate </w:t>
      </w:r>
      <w:r w:rsidR="007231CD">
        <w:t>the</w:t>
      </w:r>
      <w:r>
        <w:t xml:space="preserve"> costs of delivering care for </w:t>
      </w:r>
      <w:r w:rsidR="007231CD">
        <w:t>cases of varying severity</w:t>
      </w:r>
      <w:r w:rsidR="002D0682">
        <w:t xml:space="preserve"> that could involve limited duty, medical leave, or disability retirement</w:t>
      </w:r>
      <w:r>
        <w:t xml:space="preserve">. </w:t>
      </w:r>
    </w:p>
    <w:p w14:paraId="192D16C3" w14:textId="77777777" w:rsidR="007231CD" w:rsidRDefault="007231CD" w:rsidP="00CA2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8A00DB2" w14:textId="069FA294" w:rsidR="00DE2C6E" w:rsidRDefault="000362BA" w:rsidP="00CA2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The FIS accompanying the 2012 bill estimated costs </w:t>
      </w:r>
      <w:r w:rsidR="00310860">
        <w:t xml:space="preserve">to be </w:t>
      </w:r>
      <w:r>
        <w:t>at least $44 million but possibly as high as $80 million</w:t>
      </w:r>
      <w:r w:rsidR="007231CD">
        <w:t>.</w:t>
      </w:r>
      <w:r w:rsidR="007231CD">
        <w:rPr>
          <w:rStyle w:val="FootnoteReference"/>
        </w:rPr>
        <w:footnoteReference w:id="10"/>
      </w:r>
      <w:r w:rsidR="007231CD">
        <w:t xml:space="preserve"> OCFO supported these numbers with</w:t>
      </w:r>
      <w:r>
        <w:t xml:space="preserve"> one page </w:t>
      </w:r>
      <w:r w:rsidR="007231CD">
        <w:t xml:space="preserve">of text </w:t>
      </w:r>
      <w:r>
        <w:t xml:space="preserve">and a handful of footnotes </w:t>
      </w:r>
      <w:r w:rsidR="007231CD">
        <w:t xml:space="preserve">showing </w:t>
      </w:r>
      <w:r w:rsidR="00001361">
        <w:t xml:space="preserve">sources such as Consumer Reports </w:t>
      </w:r>
      <w:r w:rsidR="007231CD">
        <w:t xml:space="preserve">and experience with some other insurance plans. </w:t>
      </w:r>
    </w:p>
    <w:p w14:paraId="5A1A0F9A" w14:textId="77777777" w:rsidR="005414EA" w:rsidRDefault="005414EA" w:rsidP="00CA2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93DFCA1" w14:textId="53EBCDC4" w:rsidR="00F24E73" w:rsidRDefault="005414EA" w:rsidP="00CA2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The Council, over the years (we’re told), </w:t>
      </w:r>
      <w:r w:rsidR="002D0682">
        <w:t xml:space="preserve">unsuccessfully </w:t>
      </w:r>
      <w:r>
        <w:t xml:space="preserve">requested the OCFO revise the </w:t>
      </w:r>
      <w:r w:rsidR="00CC27A7">
        <w:t>2012 F</w:t>
      </w:r>
      <w:r>
        <w:t>IS</w:t>
      </w:r>
      <w:r w:rsidR="00F24E73">
        <w:t>.</w:t>
      </w:r>
      <w:r>
        <w:t xml:space="preserve"> </w:t>
      </w:r>
      <w:r w:rsidR="00EE7DAB">
        <w:t xml:space="preserve">The </w:t>
      </w:r>
      <w:r w:rsidR="00001361">
        <w:t xml:space="preserve">large cost estimate was daunting; the </w:t>
      </w:r>
      <w:r w:rsidR="00EE7DAB">
        <w:t>law remained unfunded until FY 2017.</w:t>
      </w:r>
    </w:p>
    <w:p w14:paraId="4EEAA436" w14:textId="77777777" w:rsidR="00F24E73" w:rsidRDefault="00F24E73" w:rsidP="00CA2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E51FA04" w14:textId="3371D0B7" w:rsidR="002D0682" w:rsidRDefault="00001361" w:rsidP="00CA2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w:t>
      </w:r>
      <w:r w:rsidR="00F24E73">
        <w:t xml:space="preserve"> Council </w:t>
      </w:r>
      <w:r w:rsidR="005414EA">
        <w:t>add</w:t>
      </w:r>
      <w:r>
        <w:t>ed</w:t>
      </w:r>
      <w:r w:rsidR="005414EA">
        <w:t xml:space="preserve"> appropriations bit by bit to cover parts of the plan</w:t>
      </w:r>
      <w:r w:rsidR="00296A74">
        <w:t xml:space="preserve"> </w:t>
      </w:r>
      <w:r w:rsidR="00CC27A7">
        <w:t xml:space="preserve">-- </w:t>
      </w:r>
      <w:r w:rsidR="00296A74">
        <w:t>cancer in FY17, communicable diseases in FY18,</w:t>
      </w:r>
      <w:r w:rsidR="005414EA">
        <w:t xml:space="preserve"> </w:t>
      </w:r>
      <w:r w:rsidR="00296A74">
        <w:t>chronic illnesses in FY19.</w:t>
      </w:r>
      <w:r w:rsidR="00CC27A7">
        <w:t xml:space="preserve"> </w:t>
      </w:r>
      <w:r w:rsidR="00977C6F">
        <w:t xml:space="preserve">Yet in </w:t>
      </w:r>
      <w:r w:rsidR="00CC27A7">
        <w:t>funding the third, the committee noted not a single claim had been presented under the presumption in the first two categories.</w:t>
      </w:r>
      <w:r w:rsidR="00F24E73">
        <w:rPr>
          <w:rStyle w:val="FootnoteReference"/>
        </w:rPr>
        <w:footnoteReference w:id="11"/>
      </w:r>
      <w:r w:rsidR="00CC27A7">
        <w:t xml:space="preserve">  None; ever. </w:t>
      </w:r>
    </w:p>
    <w:p w14:paraId="0B717817" w14:textId="77777777" w:rsidR="002D0682" w:rsidRDefault="002D0682" w:rsidP="00CA2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54F5C3F" w14:textId="7BD62298" w:rsidR="00CC27A7" w:rsidRDefault="00977C6F" w:rsidP="00CA2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In </w:t>
      </w:r>
      <w:r w:rsidR="005414EA">
        <w:t xml:space="preserve">March 2016, OCFO </w:t>
      </w:r>
      <w:r>
        <w:t xml:space="preserve">had taken </w:t>
      </w:r>
      <w:r w:rsidR="005414EA">
        <w:t xml:space="preserve">a </w:t>
      </w:r>
      <w:r>
        <w:t xml:space="preserve">belated </w:t>
      </w:r>
      <w:r w:rsidR="005414EA">
        <w:t xml:space="preserve">second look </w:t>
      </w:r>
      <w:r>
        <w:t>at the program’s costs, this time with</w:t>
      </w:r>
      <w:r w:rsidR="002D0682">
        <w:t xml:space="preserve"> completely different sources </w:t>
      </w:r>
      <w:r>
        <w:t xml:space="preserve">such as </w:t>
      </w:r>
      <w:r w:rsidR="002D0682">
        <w:t xml:space="preserve">other jurisdictions’ </w:t>
      </w:r>
      <w:r w:rsidR="00DE6703">
        <w:t xml:space="preserve">similar </w:t>
      </w:r>
      <w:r w:rsidR="002D0682">
        <w:t>presumptive disability programs, data showing disease incidence and prevalence among firefighters, and Centers for Disease Control studies of the cost of care for various conditions. The OCFO issued a revised FIS with a cost of $30 million</w:t>
      </w:r>
      <w:r w:rsidR="00D72829">
        <w:t xml:space="preserve">, less than half </w:t>
      </w:r>
      <w:r w:rsidR="00D72829">
        <w:lastRenderedPageBreak/>
        <w:t>the original</w:t>
      </w:r>
      <w:r w:rsidR="002D0682">
        <w:t>.</w:t>
      </w:r>
      <w:r w:rsidR="002D0682">
        <w:rPr>
          <w:rStyle w:val="FootnoteReference"/>
        </w:rPr>
        <w:footnoteReference w:id="12"/>
      </w:r>
      <w:r w:rsidR="00CC27A7">
        <w:t xml:space="preserve">  </w:t>
      </w:r>
    </w:p>
    <w:p w14:paraId="732C68A8" w14:textId="77777777" w:rsidR="00DE6703" w:rsidRDefault="00DE6703" w:rsidP="00CA2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969807A" w14:textId="582F02AB" w:rsidR="00BF0A14" w:rsidRDefault="005B0E64" w:rsidP="00CA2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Judging from the real-world results, one segment of the second FIS still lacked a solid basis</w:t>
      </w:r>
      <w:r w:rsidR="00310860">
        <w:t xml:space="preserve">. Using </w:t>
      </w:r>
      <w:r w:rsidR="00CC27A7">
        <w:t xml:space="preserve">a single source </w:t>
      </w:r>
      <w:r w:rsidR="00310860">
        <w:t xml:space="preserve">of data (from a </w:t>
      </w:r>
      <w:r w:rsidR="00CC27A7">
        <w:t>D.C. agency</w:t>
      </w:r>
      <w:r w:rsidR="00310860">
        <w:t>)</w:t>
      </w:r>
      <w:r w:rsidR="00D72829">
        <w:t xml:space="preserve">, the OCFO predicted for the remaining category of chronic illness, D.C. could expect </w:t>
      </w:r>
      <w:r w:rsidR="00CC27A7">
        <w:t xml:space="preserve">500 cases </w:t>
      </w:r>
      <w:r w:rsidR="00EE7DAB">
        <w:t xml:space="preserve">a year </w:t>
      </w:r>
      <w:r w:rsidR="000559D4">
        <w:t xml:space="preserve">that would impose </w:t>
      </w:r>
      <w:r w:rsidR="00CC27A7">
        <w:t xml:space="preserve">$15 million </w:t>
      </w:r>
      <w:r w:rsidR="000559D4">
        <w:t xml:space="preserve">in treatment costs over </w:t>
      </w:r>
      <w:r w:rsidR="00D72829">
        <w:t xml:space="preserve">the estimate period. </w:t>
      </w:r>
      <w:r w:rsidR="00CC27A7">
        <w:t xml:space="preserve"> </w:t>
      </w:r>
    </w:p>
    <w:p w14:paraId="0899350A" w14:textId="77777777" w:rsidR="00BF0A14" w:rsidRDefault="00BF0A14" w:rsidP="00CA2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BF9CDA4" w14:textId="04085C20" w:rsidR="005414EA" w:rsidRDefault="00BF0A14" w:rsidP="00CA2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Bottom line: cost estimates proved incorrect even after revision attempting better analysis</w:t>
      </w:r>
      <w:r w:rsidR="006674B3">
        <w:t>.</w:t>
      </w:r>
      <w:r>
        <w:t xml:space="preserve"> In </w:t>
      </w:r>
      <w:r w:rsidR="00CC27A7">
        <w:t xml:space="preserve">FY22, </w:t>
      </w:r>
      <w:r w:rsidR="00EE7DAB">
        <w:t xml:space="preserve">FEMS reported </w:t>
      </w:r>
      <w:r w:rsidR="00DE6703">
        <w:t xml:space="preserve">not hundreds a year but </w:t>
      </w:r>
      <w:r w:rsidR="00CC27A7">
        <w:t xml:space="preserve">a </w:t>
      </w:r>
      <w:r w:rsidR="00CC27A7" w:rsidRPr="006674B3">
        <w:rPr>
          <w:u w:val="single"/>
        </w:rPr>
        <w:t>total of three cases</w:t>
      </w:r>
      <w:r w:rsidR="00D72829">
        <w:t xml:space="preserve"> </w:t>
      </w:r>
      <w:r w:rsidR="000559D4">
        <w:t xml:space="preserve">with any of the three kinds of presumptive disability </w:t>
      </w:r>
      <w:r w:rsidR="00D72829">
        <w:t>in the latest year.</w:t>
      </w:r>
      <w:r w:rsidR="000559D4">
        <w:rPr>
          <w:rStyle w:val="FootnoteReference"/>
        </w:rPr>
        <w:footnoteReference w:id="13"/>
      </w:r>
    </w:p>
    <w:p w14:paraId="25B7AB29" w14:textId="77777777" w:rsidR="00DE2C6E" w:rsidRDefault="00DE2C6E" w:rsidP="00CA2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4F2A4C0" w14:textId="23793761" w:rsidR="00DE2C6E" w:rsidRDefault="000559D4" w:rsidP="00CA2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case studies suggest t</w:t>
      </w:r>
      <w:r w:rsidR="00D72829">
        <w:t xml:space="preserve">he Council could benefit from </w:t>
      </w:r>
      <w:r w:rsidR="00AD5637">
        <w:t>evaluating</w:t>
      </w:r>
      <w:r w:rsidR="00D72829">
        <w:t xml:space="preserve"> a broader sample of many FIS products</w:t>
      </w:r>
      <w:r w:rsidR="005B0E64">
        <w:t xml:space="preserve"> and </w:t>
      </w:r>
      <w:r w:rsidR="00D72829">
        <w:t xml:space="preserve">checking cost estimates against the eventual actual costs. Where estimates </w:t>
      </w:r>
      <w:r w:rsidR="00DE6703">
        <w:t>proved w</w:t>
      </w:r>
      <w:r w:rsidR="00D72829">
        <w:t xml:space="preserve">rong, the </w:t>
      </w:r>
      <w:r w:rsidR="00AD5637">
        <w:t>assessment</w:t>
      </w:r>
      <w:r w:rsidR="00D72829">
        <w:t xml:space="preserve"> should look for root causes in the analytic work and the internal controls intended to assure quality. The Council budget staff </w:t>
      </w:r>
      <w:r w:rsidR="00AD5637">
        <w:t>or the D.C. Auditor are well-equipped to do such a review</w:t>
      </w:r>
      <w:r w:rsidR="00D72829">
        <w:t>.</w:t>
      </w:r>
    </w:p>
    <w:p w14:paraId="013D8C8F" w14:textId="77777777" w:rsidR="00DE2C6E" w:rsidRDefault="00DE2C6E" w:rsidP="00CA2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AB30FC2" w14:textId="7A169910" w:rsidR="00086413" w:rsidRDefault="00B90243" w:rsidP="00BF0A14">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BF0A14">
        <w:rPr>
          <w:b/>
          <w:bCs/>
        </w:rPr>
        <w:t>Revision of the FIS process should be considered</w:t>
      </w:r>
      <w:r w:rsidR="00086413">
        <w:t>.</w:t>
      </w:r>
    </w:p>
    <w:p w14:paraId="6EC31F46" w14:textId="77777777" w:rsidR="00086413" w:rsidRDefault="00086413" w:rsidP="00086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8837F7A" w14:textId="3006F7A3" w:rsidR="002E2D21" w:rsidRDefault="00086413" w:rsidP="00086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Other approaches to cost analysis and linking it to prudent budgeting should be explored. The present scheme originated years ago and</w:t>
      </w:r>
      <w:r w:rsidR="00AD5637">
        <w:t xml:space="preserve"> may no longer serve its purpose well, considering </w:t>
      </w:r>
      <w:r w:rsidR="00DE6703">
        <w:t xml:space="preserve">the big </w:t>
      </w:r>
      <w:r w:rsidR="00AD5637">
        <w:t xml:space="preserve">problems </w:t>
      </w:r>
      <w:r w:rsidR="00DE6703">
        <w:t xml:space="preserve">uncovered </w:t>
      </w:r>
      <w:r w:rsidR="00AD5637">
        <w:t>in our case studies (if confirmed on further review)</w:t>
      </w:r>
      <w:r>
        <w:t xml:space="preserve">. </w:t>
      </w:r>
    </w:p>
    <w:p w14:paraId="0C3607A0" w14:textId="77777777" w:rsidR="002E2D21" w:rsidRDefault="002E2D21" w:rsidP="00086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A809F02" w14:textId="74DECEDB" w:rsidR="0096018B" w:rsidRPr="00086413" w:rsidRDefault="00086413" w:rsidP="0096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The </w:t>
      </w:r>
      <w:r w:rsidR="002E2D21">
        <w:t xml:space="preserve">D.C. Council </w:t>
      </w:r>
      <w:r w:rsidR="003D3B3A">
        <w:t xml:space="preserve">should </w:t>
      </w:r>
      <w:r w:rsidR="0096018B">
        <w:t xml:space="preserve">rethink the source of fiscal discipline </w:t>
      </w:r>
      <w:r w:rsidR="00DE6703">
        <w:t xml:space="preserve">for </w:t>
      </w:r>
      <w:r w:rsidR="0096018B">
        <w:t xml:space="preserve">balanced budgets </w:t>
      </w:r>
      <w:r w:rsidR="00AD5637">
        <w:t xml:space="preserve">to correct the present situation that inherently uncertain FIS estimates </w:t>
      </w:r>
      <w:r w:rsidR="00DE6703">
        <w:t xml:space="preserve">(sometimes with slim basis) </w:t>
      </w:r>
      <w:r w:rsidR="00AD5637">
        <w:t xml:space="preserve">from the OCFO alone have veto power without transparency or effective challenge from the Council or the public. Congress gets cost impact advice from many sources; the </w:t>
      </w:r>
      <w:r w:rsidR="00DE6703">
        <w:t>C</w:t>
      </w:r>
      <w:r w:rsidR="00AD5637">
        <w:t>ouncil could as well while retaining the responsibility of fiscal prudence</w:t>
      </w:r>
      <w:r w:rsidR="00DE6703">
        <w:t>.</w:t>
      </w:r>
      <w:r w:rsidR="00AD5637">
        <w:t xml:space="preserve"> </w:t>
      </w:r>
      <w:r w:rsidR="0096018B">
        <w:t>The Council Office of the Budget Director has grown, with a capable staff that could do the job. The key is that legislators balance the budget; there must be better ways to do it.</w:t>
      </w:r>
      <w:r w:rsidR="00AD5637">
        <w:t xml:space="preserve"> Ideas include:</w:t>
      </w:r>
    </w:p>
    <w:p w14:paraId="760BDCB6" w14:textId="614D3FDE" w:rsidR="003D3B3A" w:rsidRDefault="0096018B" w:rsidP="003D3B3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r>
        <w:t xml:space="preserve">Require </w:t>
      </w:r>
      <w:r w:rsidR="003D3B3A">
        <w:t>that an</w:t>
      </w:r>
      <w:r>
        <w:t xml:space="preserve">y FIS </w:t>
      </w:r>
      <w:r w:rsidR="003D3B3A">
        <w:t>provided without a basis shall not be considered.</w:t>
      </w:r>
    </w:p>
    <w:p w14:paraId="052B492A" w14:textId="276F1917" w:rsidR="003D3B3A" w:rsidRDefault="0096018B" w:rsidP="003D3B3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r>
        <w:t xml:space="preserve">Require </w:t>
      </w:r>
      <w:r w:rsidR="003D3B3A">
        <w:t xml:space="preserve">that </w:t>
      </w:r>
      <w:r>
        <w:t xml:space="preserve">any </w:t>
      </w:r>
      <w:r w:rsidR="003D3B3A">
        <w:t xml:space="preserve">FIS </w:t>
      </w:r>
      <w:r>
        <w:t xml:space="preserve">be submitted </w:t>
      </w:r>
      <w:r w:rsidR="003D3B3A">
        <w:t xml:space="preserve">in time to allow </w:t>
      </w:r>
      <w:r>
        <w:t xml:space="preserve">its authors </w:t>
      </w:r>
      <w:r w:rsidR="003D3B3A">
        <w:t xml:space="preserve">to appear before the </w:t>
      </w:r>
      <w:r w:rsidR="000559D4">
        <w:t>Council c</w:t>
      </w:r>
      <w:r w:rsidR="003D3B3A">
        <w:t xml:space="preserve">ommittee to </w:t>
      </w:r>
      <w:r w:rsidR="00DB5422">
        <w:t xml:space="preserve">answer questions about </w:t>
      </w:r>
      <w:r w:rsidR="003D3B3A">
        <w:t>the estimate and its basis.</w:t>
      </w:r>
    </w:p>
    <w:p w14:paraId="247A0117" w14:textId="7D740498" w:rsidR="00DB5422" w:rsidRDefault="0096018B" w:rsidP="00BB5E77">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r>
        <w:t xml:space="preserve">Require </w:t>
      </w:r>
      <w:r w:rsidR="002E2D21">
        <w:t xml:space="preserve">estimates </w:t>
      </w:r>
      <w:r>
        <w:t xml:space="preserve">be allowed </w:t>
      </w:r>
      <w:r w:rsidR="00BF0A14">
        <w:t xml:space="preserve">from any source </w:t>
      </w:r>
      <w:r>
        <w:t xml:space="preserve">when certified </w:t>
      </w:r>
      <w:r w:rsidR="00BF0A14">
        <w:t>by the Council Budget Director.</w:t>
      </w:r>
    </w:p>
    <w:p w14:paraId="6E6667E6" w14:textId="77777777" w:rsidR="006969EB" w:rsidRDefault="006969EB" w:rsidP="00696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4DCC550" w14:textId="0C6201E7" w:rsidR="006969EB" w:rsidRDefault="002E2D21" w:rsidP="00696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Thanks for the opportunity to raise the questions that occurred to us from our case stud</w:t>
      </w:r>
      <w:r w:rsidR="00DB5422">
        <w:t>ies.</w:t>
      </w:r>
    </w:p>
    <w:p w14:paraId="56933C0D" w14:textId="77777777" w:rsidR="00DE6703" w:rsidRDefault="00DE6703" w:rsidP="00696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E79E54D" w14:textId="29D38013" w:rsidR="007B31A1" w:rsidRDefault="007B31A1" w:rsidP="007B31A1">
      <w:pPr>
        <w:tabs>
          <w:tab w:val="left" w:pos="4725"/>
        </w:tabs>
        <w:rPr>
          <w:color w:val="000000"/>
        </w:rPr>
      </w:pPr>
      <w:r>
        <w:rPr>
          <w:color w:val="000000"/>
        </w:rPr>
        <w:t>___________________________________</w:t>
      </w:r>
      <w:r w:rsidR="00AE73BD">
        <w:rPr>
          <w:color w:val="000000"/>
        </w:rPr>
        <w:t>__</w:t>
      </w:r>
      <w:r>
        <w:rPr>
          <w:color w:val="000000"/>
        </w:rPr>
        <w:t>_______________________________________________</w:t>
      </w:r>
    </w:p>
    <w:p w14:paraId="7D379D9F" w14:textId="59A6D5B2" w:rsidR="00886B51" w:rsidRPr="00886B51" w:rsidRDefault="00581D37" w:rsidP="00AE73BD">
      <w:pPr>
        <w:tabs>
          <w:tab w:val="left" w:pos="4725"/>
        </w:tabs>
        <w:jc w:val="both"/>
        <w:rPr>
          <w:color w:val="000000"/>
          <w:sz w:val="22"/>
          <w:szCs w:val="22"/>
        </w:rPr>
      </w:pPr>
      <w:r>
        <w:rPr>
          <w:color w:val="000000"/>
          <w:sz w:val="22"/>
          <w:szCs w:val="22"/>
        </w:rPr>
        <w:t xml:space="preserve">Since its founding in </w:t>
      </w:r>
      <w:r w:rsidRPr="00D560DB">
        <w:rPr>
          <w:color w:val="000000"/>
          <w:sz w:val="22"/>
          <w:szCs w:val="22"/>
        </w:rPr>
        <w:t>2009</w:t>
      </w:r>
      <w:r>
        <w:rPr>
          <w:color w:val="000000"/>
          <w:sz w:val="22"/>
          <w:szCs w:val="22"/>
        </w:rPr>
        <w:t xml:space="preserve"> as a nonprofit</w:t>
      </w:r>
      <w:r w:rsidRPr="00D560DB">
        <w:rPr>
          <w:color w:val="000000"/>
          <w:sz w:val="22"/>
          <w:szCs w:val="22"/>
        </w:rPr>
        <w:t xml:space="preserve">, the D.C. Open Government Coalition </w:t>
      </w:r>
      <w:r>
        <w:rPr>
          <w:color w:val="000000"/>
          <w:sz w:val="22"/>
          <w:szCs w:val="22"/>
        </w:rPr>
        <w:t xml:space="preserve">has sought </w:t>
      </w:r>
      <w:r w:rsidRPr="00D560DB">
        <w:rPr>
          <w:color w:val="000000"/>
          <w:sz w:val="22"/>
          <w:szCs w:val="22"/>
        </w:rPr>
        <w:t xml:space="preserve">to enhance public access to government information and transparency of government operations of the District. We believe transparency promotes civic engagement and is critical to a responsive and accountable government. </w:t>
      </w:r>
      <w:r>
        <w:rPr>
          <w:color w:val="000000"/>
          <w:sz w:val="22"/>
          <w:szCs w:val="22"/>
        </w:rPr>
        <w:t>Through public education, legislative advocacy, and litigation w</w:t>
      </w:r>
      <w:r w:rsidRPr="00D560DB">
        <w:rPr>
          <w:color w:val="000000"/>
          <w:sz w:val="22"/>
          <w:szCs w:val="22"/>
        </w:rPr>
        <w:t xml:space="preserve">e strive to improve the </w:t>
      </w:r>
      <w:r>
        <w:rPr>
          <w:color w:val="000000"/>
          <w:sz w:val="22"/>
          <w:szCs w:val="22"/>
        </w:rPr>
        <w:t xml:space="preserve">laws, policies, and procedures that </w:t>
      </w:r>
      <w:r w:rsidR="006A30F0">
        <w:rPr>
          <w:color w:val="000000"/>
          <w:sz w:val="22"/>
          <w:szCs w:val="22"/>
        </w:rPr>
        <w:t xml:space="preserve">assure public access </w:t>
      </w:r>
      <w:r w:rsidR="006A30F0" w:rsidRPr="00D560DB">
        <w:rPr>
          <w:color w:val="000000"/>
          <w:sz w:val="22"/>
          <w:szCs w:val="22"/>
        </w:rPr>
        <w:t xml:space="preserve">to government records </w:t>
      </w:r>
      <w:r w:rsidR="006A30F0">
        <w:rPr>
          <w:color w:val="000000"/>
          <w:sz w:val="22"/>
          <w:szCs w:val="22"/>
        </w:rPr>
        <w:t>(old and new) and</w:t>
      </w:r>
      <w:r w:rsidR="006A30F0" w:rsidRPr="00D560DB">
        <w:rPr>
          <w:color w:val="000000"/>
          <w:sz w:val="22"/>
          <w:szCs w:val="22"/>
        </w:rPr>
        <w:t xml:space="preserve"> proceedings, and to educate the public and government officials about the principles and benefits of open government.</w:t>
      </w:r>
    </w:p>
    <w:sectPr w:rsidR="00886B51" w:rsidRPr="00886B51" w:rsidSect="001D3135">
      <w:headerReference w:type="even" r:id="rId10"/>
      <w:headerReference w:type="default" r:id="rId11"/>
      <w:footerReference w:type="even" r:id="rId12"/>
      <w:footerReference w:type="default" r:id="rId13"/>
      <w:footerReference w:type="first" r:id="rId14"/>
      <w:endnotePr>
        <w:numFmt w:val="decimal"/>
      </w:endnotePr>
      <w:type w:val="continuous"/>
      <w:pgSz w:w="12240" w:h="15840"/>
      <w:pgMar w:top="999" w:right="990" w:bottom="630" w:left="99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3CD1" w14:textId="77777777" w:rsidR="001D3135" w:rsidRDefault="001D3135">
      <w:r>
        <w:separator/>
      </w:r>
    </w:p>
  </w:endnote>
  <w:endnote w:type="continuationSeparator" w:id="0">
    <w:p w14:paraId="614E113B" w14:textId="77777777" w:rsidR="001D3135" w:rsidRDefault="001D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7621717"/>
      <w:docPartObj>
        <w:docPartGallery w:val="Page Numbers (Bottom of Page)"/>
        <w:docPartUnique/>
      </w:docPartObj>
    </w:sdtPr>
    <w:sdtContent>
      <w:p w14:paraId="6F5FBA01" w14:textId="42B5B623" w:rsidR="00AB665E" w:rsidRDefault="00AB665E" w:rsidP="00DB54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68E681" w14:textId="77777777" w:rsidR="00AB665E" w:rsidRDefault="00AB6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7486912"/>
      <w:docPartObj>
        <w:docPartGallery w:val="Page Numbers (Bottom of Page)"/>
        <w:docPartUnique/>
      </w:docPartObj>
    </w:sdtPr>
    <w:sdtContent>
      <w:p w14:paraId="69D10E4C" w14:textId="24552F66" w:rsidR="00DB5422" w:rsidRDefault="00DB5422" w:rsidP="00C031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6537859" w14:textId="77777777" w:rsidR="00B22C72" w:rsidRDefault="00000000">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A9F2" w14:textId="6BE1C8DE" w:rsidR="00581D37" w:rsidRDefault="00581D37" w:rsidP="00581D3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0011F" w14:textId="77777777" w:rsidR="001D3135" w:rsidRDefault="001D3135">
      <w:r>
        <w:separator/>
      </w:r>
    </w:p>
  </w:footnote>
  <w:footnote w:type="continuationSeparator" w:id="0">
    <w:p w14:paraId="2BAFD0A5" w14:textId="77777777" w:rsidR="001D3135" w:rsidRDefault="001D3135">
      <w:r>
        <w:continuationSeparator/>
      </w:r>
    </w:p>
  </w:footnote>
  <w:footnote w:id="1">
    <w:p w14:paraId="7E4813F5" w14:textId="3D0075C9" w:rsidR="009A58D2" w:rsidRPr="00DB5422" w:rsidRDefault="009A58D2" w:rsidP="006969EB">
      <w:pPr>
        <w:pStyle w:val="FootnoteText"/>
        <w:rPr>
          <w:sz w:val="20"/>
          <w:szCs w:val="20"/>
        </w:rPr>
      </w:pPr>
      <w:r w:rsidRPr="009A58D2">
        <w:rPr>
          <w:rStyle w:val="FootnoteReference"/>
          <w:sz w:val="20"/>
          <w:szCs w:val="20"/>
        </w:rPr>
        <w:footnoteRef/>
      </w:r>
      <w:r w:rsidRPr="009A58D2">
        <w:t xml:space="preserve"> </w:t>
      </w:r>
      <w:r w:rsidR="0011134D" w:rsidRPr="0011134D">
        <w:rPr>
          <w:sz w:val="20"/>
          <w:szCs w:val="20"/>
        </w:rPr>
        <w:t>B24-320</w:t>
      </w:r>
      <w:r w:rsidR="0011134D">
        <w:t xml:space="preserve"> </w:t>
      </w:r>
      <w:r w:rsidR="006969EB" w:rsidRPr="006969EB">
        <w:rPr>
          <w:sz w:val="20"/>
          <w:szCs w:val="20"/>
        </w:rPr>
        <w:t>FIS dated Novembe</w:t>
      </w:r>
      <w:r w:rsidR="006969EB">
        <w:rPr>
          <w:sz w:val="20"/>
          <w:szCs w:val="20"/>
        </w:rPr>
        <w:t>r 30, 2022. Available at:</w:t>
      </w:r>
      <w:r w:rsidR="006969EB">
        <w:t xml:space="preserve"> </w:t>
      </w:r>
      <w:hyperlink r:id="rId1" w:history="1">
        <w:r w:rsidR="006969EB" w:rsidRPr="00FE7F57">
          <w:rPr>
            <w:rStyle w:val="Hyperlink"/>
            <w:sz w:val="20"/>
            <w:szCs w:val="20"/>
          </w:rPr>
          <w:t>http://app.cfo.dc.gov/services/fiscal_impa</w:t>
        </w:r>
        <w:r w:rsidR="006969EB" w:rsidRPr="00FE7F57">
          <w:rPr>
            <w:rStyle w:val="Hyperlink"/>
            <w:sz w:val="20"/>
            <w:szCs w:val="20"/>
          </w:rPr>
          <w:t>ct/pdf/spring09/New%20Folder/FIS%20Comprehensive%20Policing%20and%20Justice%20Reform.pdf</w:t>
        </w:r>
      </w:hyperlink>
      <w:r>
        <w:t xml:space="preserve">. </w:t>
      </w:r>
      <w:r w:rsidR="00DB5422" w:rsidRPr="00DB5422">
        <w:rPr>
          <w:sz w:val="20"/>
          <w:szCs w:val="20"/>
        </w:rPr>
        <w:t xml:space="preserve">The second </w:t>
      </w:r>
      <w:r w:rsidR="00DB5422">
        <w:rPr>
          <w:sz w:val="20"/>
          <w:szCs w:val="20"/>
        </w:rPr>
        <w:t>c</w:t>
      </w:r>
      <w:r w:rsidR="00DB5422" w:rsidRPr="00DB5422">
        <w:rPr>
          <w:sz w:val="20"/>
          <w:szCs w:val="20"/>
        </w:rPr>
        <w:t>ase</w:t>
      </w:r>
      <w:r w:rsidR="00F07933">
        <w:rPr>
          <w:sz w:val="20"/>
          <w:szCs w:val="20"/>
        </w:rPr>
        <w:t xml:space="preserve">, </w:t>
      </w:r>
      <w:r w:rsidR="00183A76">
        <w:rPr>
          <w:sz w:val="20"/>
          <w:szCs w:val="20"/>
        </w:rPr>
        <w:t xml:space="preserve">about certain expanded D.C. government employee benefits, </w:t>
      </w:r>
      <w:r w:rsidR="00DB5422" w:rsidRPr="00DB5422">
        <w:rPr>
          <w:sz w:val="20"/>
          <w:szCs w:val="20"/>
        </w:rPr>
        <w:t xml:space="preserve">is described </w:t>
      </w:r>
      <w:r w:rsidR="00DB5422">
        <w:rPr>
          <w:sz w:val="20"/>
          <w:szCs w:val="20"/>
        </w:rPr>
        <w:t>on pp. 4-5.</w:t>
      </w:r>
    </w:p>
  </w:footnote>
  <w:footnote w:id="2">
    <w:p w14:paraId="7886BEF0" w14:textId="4C9323CE" w:rsidR="00F9156D" w:rsidRPr="00F9156D" w:rsidRDefault="00F9156D" w:rsidP="00F9156D">
      <w:pPr>
        <w:pStyle w:val="FootnoteText"/>
        <w:rPr>
          <w:sz w:val="20"/>
          <w:szCs w:val="20"/>
          <w:lang w:bidi="en-US"/>
        </w:rPr>
      </w:pPr>
      <w:r w:rsidRPr="00F9156D">
        <w:rPr>
          <w:rStyle w:val="FootnoteReference"/>
          <w:sz w:val="20"/>
          <w:szCs w:val="20"/>
        </w:rPr>
        <w:footnoteRef/>
      </w:r>
      <w:r w:rsidRPr="00F9156D">
        <w:rPr>
          <w:sz w:val="20"/>
          <w:szCs w:val="20"/>
        </w:rPr>
        <w:t xml:space="preserve"> </w:t>
      </w:r>
      <w:r w:rsidR="00FA6346">
        <w:rPr>
          <w:sz w:val="20"/>
          <w:szCs w:val="20"/>
        </w:rPr>
        <w:t xml:space="preserve">D.C Code </w:t>
      </w:r>
      <w:r w:rsidR="007B1E38">
        <w:rPr>
          <w:sz w:val="20"/>
          <w:szCs w:val="20"/>
        </w:rPr>
        <w:t xml:space="preserve">§ </w:t>
      </w:r>
      <w:r w:rsidR="007B1E38" w:rsidRPr="007B1E38">
        <w:rPr>
          <w:sz w:val="20"/>
          <w:szCs w:val="20"/>
        </w:rPr>
        <w:t>1–301.47a</w:t>
      </w:r>
      <w:r w:rsidR="007B1E38">
        <w:rPr>
          <w:sz w:val="20"/>
          <w:szCs w:val="20"/>
        </w:rPr>
        <w:t xml:space="preserve">(a)(2). The section was originally added to </w:t>
      </w:r>
      <w:r w:rsidR="00DE6703">
        <w:rPr>
          <w:sz w:val="20"/>
          <w:szCs w:val="20"/>
        </w:rPr>
        <w:t xml:space="preserve">the </w:t>
      </w:r>
      <w:r w:rsidR="007B1E38">
        <w:rPr>
          <w:sz w:val="20"/>
          <w:szCs w:val="20"/>
        </w:rPr>
        <w:t xml:space="preserve">D.C. </w:t>
      </w:r>
      <w:r w:rsidR="00183A76">
        <w:rPr>
          <w:sz w:val="20"/>
          <w:szCs w:val="20"/>
        </w:rPr>
        <w:t xml:space="preserve">Code </w:t>
      </w:r>
      <w:r w:rsidR="007B1E38">
        <w:rPr>
          <w:sz w:val="20"/>
          <w:szCs w:val="20"/>
        </w:rPr>
        <w:t xml:space="preserve">by </w:t>
      </w:r>
      <w:r w:rsidR="008A66C6">
        <w:rPr>
          <w:sz w:val="20"/>
          <w:szCs w:val="20"/>
        </w:rPr>
        <w:t xml:space="preserve">the </w:t>
      </w:r>
      <w:r w:rsidR="008A66C6" w:rsidRPr="008A66C6">
        <w:rPr>
          <w:sz w:val="20"/>
          <w:szCs w:val="20"/>
        </w:rPr>
        <w:t>General Legislative Procedures Act of 1975</w:t>
      </w:r>
      <w:r w:rsidR="007B1E38">
        <w:rPr>
          <w:sz w:val="20"/>
          <w:szCs w:val="20"/>
        </w:rPr>
        <w:t>. It is</w:t>
      </w:r>
      <w:r w:rsidR="008A66C6">
        <w:rPr>
          <w:sz w:val="20"/>
          <w:szCs w:val="20"/>
        </w:rPr>
        <w:t xml:space="preserve"> </w:t>
      </w:r>
      <w:proofErr w:type="gramStart"/>
      <w:r w:rsidR="002A6736">
        <w:rPr>
          <w:sz w:val="20"/>
          <w:szCs w:val="20"/>
        </w:rPr>
        <w:t>similar to</w:t>
      </w:r>
      <w:proofErr w:type="gramEnd"/>
      <w:r w:rsidR="002A6736">
        <w:rPr>
          <w:sz w:val="20"/>
          <w:szCs w:val="20"/>
        </w:rPr>
        <w:t xml:space="preserve"> and different from </w:t>
      </w:r>
      <w:r>
        <w:rPr>
          <w:sz w:val="20"/>
          <w:szCs w:val="20"/>
        </w:rPr>
        <w:t xml:space="preserve">the Congressional Budget Act </w:t>
      </w:r>
      <w:r w:rsidR="00F966B9">
        <w:rPr>
          <w:sz w:val="20"/>
          <w:szCs w:val="20"/>
        </w:rPr>
        <w:t xml:space="preserve">of 1974 </w:t>
      </w:r>
      <w:r>
        <w:rPr>
          <w:sz w:val="20"/>
          <w:szCs w:val="20"/>
        </w:rPr>
        <w:t>(CBA)</w:t>
      </w:r>
      <w:r w:rsidRPr="00F9156D">
        <w:rPr>
          <w:sz w:val="20"/>
          <w:szCs w:val="20"/>
          <w:lang w:bidi="en-US"/>
        </w:rPr>
        <w:t xml:space="preserve"> as amended, P.L. 93-344</w:t>
      </w:r>
      <w:r w:rsidR="00C34C6D">
        <w:rPr>
          <w:sz w:val="20"/>
          <w:szCs w:val="20"/>
          <w:lang w:bidi="en-US"/>
        </w:rPr>
        <w:t xml:space="preserve">, </w:t>
      </w:r>
      <w:r w:rsidRPr="00F9156D">
        <w:rPr>
          <w:sz w:val="20"/>
          <w:szCs w:val="20"/>
          <w:lang w:bidi="en-US"/>
        </w:rPr>
        <w:t>Section 402.</w:t>
      </w:r>
      <w:r>
        <w:rPr>
          <w:sz w:val="20"/>
          <w:szCs w:val="20"/>
        </w:rPr>
        <w:t xml:space="preserve"> </w:t>
      </w:r>
      <w:r w:rsidR="00FA6346">
        <w:rPr>
          <w:sz w:val="20"/>
          <w:szCs w:val="20"/>
        </w:rPr>
        <w:t>According to the Congressional Research Service</w:t>
      </w:r>
      <w:r w:rsidR="008A66C6">
        <w:rPr>
          <w:sz w:val="20"/>
          <w:szCs w:val="20"/>
        </w:rPr>
        <w:t xml:space="preserve"> (CRS)</w:t>
      </w:r>
      <w:r w:rsidR="00FA6346">
        <w:rPr>
          <w:sz w:val="20"/>
          <w:szCs w:val="20"/>
        </w:rPr>
        <w:t>, t</w:t>
      </w:r>
      <w:r>
        <w:rPr>
          <w:sz w:val="20"/>
          <w:szCs w:val="20"/>
        </w:rPr>
        <w:t xml:space="preserve">he </w:t>
      </w:r>
      <w:r w:rsidRPr="00F9156D">
        <w:rPr>
          <w:sz w:val="20"/>
          <w:szCs w:val="20"/>
          <w:lang w:bidi="en-US"/>
        </w:rPr>
        <w:t xml:space="preserve">CBA requires that </w:t>
      </w:r>
      <w:r w:rsidR="008A66C6">
        <w:rPr>
          <w:sz w:val="20"/>
          <w:szCs w:val="20"/>
          <w:lang w:bidi="en-US"/>
        </w:rPr>
        <w:t xml:space="preserve">a congressional support agency, the </w:t>
      </w:r>
      <w:r w:rsidRPr="00F9156D">
        <w:rPr>
          <w:sz w:val="20"/>
          <w:szCs w:val="20"/>
          <w:lang w:bidi="en-US"/>
        </w:rPr>
        <w:t>C</w:t>
      </w:r>
      <w:r>
        <w:rPr>
          <w:sz w:val="20"/>
          <w:szCs w:val="20"/>
          <w:lang w:bidi="en-US"/>
        </w:rPr>
        <w:t>ongressional Budget Office (CBO)</w:t>
      </w:r>
      <w:r w:rsidR="008A66C6">
        <w:rPr>
          <w:sz w:val="20"/>
          <w:szCs w:val="20"/>
          <w:lang w:bidi="en-US"/>
        </w:rPr>
        <w:t>,</w:t>
      </w:r>
      <w:r>
        <w:rPr>
          <w:sz w:val="20"/>
          <w:szCs w:val="20"/>
          <w:lang w:bidi="en-US"/>
        </w:rPr>
        <w:t xml:space="preserve"> </w:t>
      </w:r>
      <w:r w:rsidRPr="00F9156D">
        <w:rPr>
          <w:sz w:val="20"/>
          <w:szCs w:val="20"/>
          <w:lang w:bidi="en-US"/>
        </w:rPr>
        <w:t xml:space="preserve">prepare cost estimates for all bills reported from </w:t>
      </w:r>
      <w:r w:rsidR="002A6736">
        <w:rPr>
          <w:sz w:val="20"/>
          <w:szCs w:val="20"/>
          <w:lang w:bidi="en-US"/>
        </w:rPr>
        <w:t>committee</w:t>
      </w:r>
      <w:r w:rsidRPr="00F9156D">
        <w:rPr>
          <w:sz w:val="20"/>
          <w:szCs w:val="20"/>
          <w:lang w:bidi="en-US"/>
        </w:rPr>
        <w:t xml:space="preserve"> “to the extent practicable.” The CBA also requires that CBO include in its estimates “the costs which would be incurred” in carrying out the legislation in the fiscal year in which the legislation is to become effective, as well as the four following years, together with “the basis for such estimate.”  </w:t>
      </w:r>
      <w:r w:rsidR="008A66C6">
        <w:rPr>
          <w:sz w:val="20"/>
          <w:szCs w:val="20"/>
          <w:lang w:bidi="en-US"/>
        </w:rPr>
        <w:t xml:space="preserve">However, </w:t>
      </w:r>
      <w:r w:rsidR="00CC645C">
        <w:rPr>
          <w:sz w:val="20"/>
          <w:szCs w:val="20"/>
          <w:lang w:bidi="en-US"/>
        </w:rPr>
        <w:t xml:space="preserve">unlike D.C., no </w:t>
      </w:r>
      <w:r w:rsidR="00183A76">
        <w:rPr>
          <w:sz w:val="20"/>
          <w:szCs w:val="20"/>
          <w:lang w:bidi="en-US"/>
        </w:rPr>
        <w:t xml:space="preserve">federal </w:t>
      </w:r>
      <w:r w:rsidR="00CC645C">
        <w:rPr>
          <w:sz w:val="20"/>
          <w:szCs w:val="20"/>
          <w:lang w:bidi="en-US"/>
        </w:rPr>
        <w:t xml:space="preserve">statute confers </w:t>
      </w:r>
      <w:r w:rsidR="00FA6346">
        <w:rPr>
          <w:sz w:val="20"/>
          <w:szCs w:val="20"/>
          <w:lang w:bidi="en-US"/>
        </w:rPr>
        <w:t xml:space="preserve">any </w:t>
      </w:r>
      <w:r w:rsidR="00B14308">
        <w:rPr>
          <w:sz w:val="20"/>
          <w:szCs w:val="20"/>
          <w:lang w:bidi="en-US"/>
        </w:rPr>
        <w:t xml:space="preserve">special </w:t>
      </w:r>
      <w:r w:rsidR="00CC645C">
        <w:rPr>
          <w:sz w:val="20"/>
          <w:szCs w:val="20"/>
          <w:lang w:bidi="en-US"/>
        </w:rPr>
        <w:t xml:space="preserve">status on </w:t>
      </w:r>
      <w:r w:rsidR="00FA6346">
        <w:rPr>
          <w:sz w:val="20"/>
          <w:szCs w:val="20"/>
          <w:lang w:bidi="en-US"/>
        </w:rPr>
        <w:t>CBO estimates</w:t>
      </w:r>
      <w:r w:rsidR="00183A76">
        <w:rPr>
          <w:sz w:val="20"/>
          <w:szCs w:val="20"/>
          <w:lang w:bidi="en-US"/>
        </w:rPr>
        <w:t xml:space="preserve">. To the contrary, </w:t>
      </w:r>
      <w:r w:rsidR="002A6736">
        <w:rPr>
          <w:sz w:val="20"/>
          <w:szCs w:val="20"/>
          <w:lang w:bidi="en-US"/>
        </w:rPr>
        <w:t xml:space="preserve">estimation procedures have been the </w:t>
      </w:r>
      <w:r w:rsidR="00CC645C">
        <w:rPr>
          <w:sz w:val="20"/>
          <w:szCs w:val="20"/>
          <w:lang w:bidi="en-US"/>
        </w:rPr>
        <w:t>subject of vigorous debate for years</w:t>
      </w:r>
      <w:r w:rsidR="00FA6346">
        <w:rPr>
          <w:sz w:val="20"/>
          <w:szCs w:val="20"/>
          <w:lang w:bidi="en-US"/>
        </w:rPr>
        <w:t>.</w:t>
      </w:r>
      <w:r w:rsidR="008A66C6">
        <w:rPr>
          <w:sz w:val="20"/>
          <w:szCs w:val="20"/>
          <w:lang w:bidi="en-US"/>
        </w:rPr>
        <w:t xml:space="preserve"> </w:t>
      </w:r>
      <w:r w:rsidR="00CC645C" w:rsidRPr="00CC645C">
        <w:rPr>
          <w:i/>
          <w:iCs/>
          <w:sz w:val="20"/>
          <w:szCs w:val="20"/>
          <w:lang w:bidi="en-US"/>
        </w:rPr>
        <w:t>See</w:t>
      </w:r>
      <w:r w:rsidR="00CC645C">
        <w:rPr>
          <w:sz w:val="20"/>
          <w:szCs w:val="20"/>
          <w:lang w:bidi="en-US"/>
        </w:rPr>
        <w:t xml:space="preserve"> </w:t>
      </w:r>
      <w:r w:rsidR="008A66C6">
        <w:rPr>
          <w:sz w:val="20"/>
          <w:szCs w:val="20"/>
          <w:lang w:bidi="en-US"/>
        </w:rPr>
        <w:t xml:space="preserve">CRS, </w:t>
      </w:r>
      <w:r w:rsidR="008A66C6" w:rsidRPr="008A66C6">
        <w:rPr>
          <w:i/>
          <w:iCs/>
          <w:sz w:val="20"/>
          <w:szCs w:val="20"/>
          <w:lang w:bidi="en-US"/>
        </w:rPr>
        <w:t>Dynamic Scoring in the Congressional Budget Process</w:t>
      </w:r>
      <w:r w:rsidR="008A66C6">
        <w:rPr>
          <w:sz w:val="20"/>
          <w:szCs w:val="20"/>
          <w:lang w:bidi="en-US"/>
        </w:rPr>
        <w:t xml:space="preserve"> (Report R46233, updated March 6, 2023). Available at: </w:t>
      </w:r>
      <w:hyperlink r:id="rId2" w:history="1">
        <w:r w:rsidR="008A66C6" w:rsidRPr="00FE7F57">
          <w:rPr>
            <w:rStyle w:val="Hyperlink"/>
            <w:sz w:val="20"/>
            <w:szCs w:val="20"/>
            <w:lang w:bidi="en-US"/>
          </w:rPr>
          <w:t>https://crsreports.congress.gov/product/pdf/R/R46233</w:t>
        </w:r>
      </w:hyperlink>
      <w:r w:rsidR="008A66C6">
        <w:rPr>
          <w:sz w:val="20"/>
          <w:szCs w:val="20"/>
          <w:lang w:bidi="en-US"/>
        </w:rPr>
        <w:t xml:space="preserve">. </w:t>
      </w:r>
    </w:p>
    <w:p w14:paraId="583B91B4" w14:textId="6457EAA8" w:rsidR="00F9156D" w:rsidRPr="00F9156D" w:rsidRDefault="00F9156D">
      <w:pPr>
        <w:pStyle w:val="FootnoteText"/>
        <w:rPr>
          <w:sz w:val="20"/>
          <w:szCs w:val="20"/>
        </w:rPr>
      </w:pPr>
    </w:p>
  </w:footnote>
  <w:footnote w:id="3">
    <w:p w14:paraId="79FC6D7C" w14:textId="383E5AA1" w:rsidR="0072162C" w:rsidRDefault="0072162C">
      <w:pPr>
        <w:pStyle w:val="FootnoteText"/>
        <w:rPr>
          <w:sz w:val="20"/>
          <w:szCs w:val="20"/>
        </w:rPr>
      </w:pPr>
      <w:r w:rsidRPr="0072162C">
        <w:rPr>
          <w:rStyle w:val="FootnoteReference"/>
          <w:sz w:val="20"/>
          <w:szCs w:val="20"/>
        </w:rPr>
        <w:footnoteRef/>
      </w:r>
      <w:r w:rsidRPr="0072162C">
        <w:rPr>
          <w:sz w:val="20"/>
          <w:szCs w:val="20"/>
        </w:rPr>
        <w:t xml:space="preserve"> </w:t>
      </w:r>
      <w:r>
        <w:rPr>
          <w:sz w:val="20"/>
          <w:szCs w:val="20"/>
        </w:rPr>
        <w:t xml:space="preserve">And the public can’t see what the agencies said </w:t>
      </w:r>
      <w:r w:rsidRPr="0072162C">
        <w:rPr>
          <w:sz w:val="20"/>
          <w:szCs w:val="20"/>
        </w:rPr>
        <w:t xml:space="preserve">as </w:t>
      </w:r>
      <w:r>
        <w:rPr>
          <w:sz w:val="20"/>
          <w:szCs w:val="20"/>
        </w:rPr>
        <w:t xml:space="preserve">OCFO released the emails with </w:t>
      </w:r>
      <w:r w:rsidR="00183A76">
        <w:rPr>
          <w:sz w:val="20"/>
          <w:szCs w:val="20"/>
        </w:rPr>
        <w:t xml:space="preserve">text </w:t>
      </w:r>
      <w:r>
        <w:rPr>
          <w:sz w:val="20"/>
          <w:szCs w:val="20"/>
        </w:rPr>
        <w:t xml:space="preserve">redacted. The Mayor’s Office of Legal Counsel (MOLC) upheld the </w:t>
      </w:r>
      <w:r w:rsidRPr="0072162C">
        <w:rPr>
          <w:sz w:val="20"/>
          <w:szCs w:val="20"/>
        </w:rPr>
        <w:t>denial o</w:t>
      </w:r>
      <w:r>
        <w:rPr>
          <w:sz w:val="20"/>
          <w:szCs w:val="20"/>
        </w:rPr>
        <w:t>ver our appeal, f</w:t>
      </w:r>
      <w:r w:rsidRPr="0072162C">
        <w:rPr>
          <w:sz w:val="20"/>
          <w:szCs w:val="20"/>
        </w:rPr>
        <w:t xml:space="preserve">inding that agencies and OCFO are engaged in a deliberative </w:t>
      </w:r>
      <w:r w:rsidR="002A6736" w:rsidRPr="0072162C">
        <w:rPr>
          <w:sz w:val="20"/>
          <w:szCs w:val="20"/>
        </w:rPr>
        <w:t>process,</w:t>
      </w:r>
      <w:r w:rsidRPr="0072162C">
        <w:rPr>
          <w:sz w:val="20"/>
          <w:szCs w:val="20"/>
        </w:rPr>
        <w:t xml:space="preserve"> so their communications are </w:t>
      </w:r>
      <w:r>
        <w:rPr>
          <w:sz w:val="20"/>
          <w:szCs w:val="20"/>
        </w:rPr>
        <w:t xml:space="preserve">exempt from FOIA as </w:t>
      </w:r>
      <w:r w:rsidRPr="0072162C">
        <w:rPr>
          <w:sz w:val="20"/>
          <w:szCs w:val="20"/>
        </w:rPr>
        <w:t>privileged</w:t>
      </w:r>
      <w:r>
        <w:rPr>
          <w:sz w:val="20"/>
          <w:szCs w:val="20"/>
        </w:rPr>
        <w:t xml:space="preserve"> exchanges of recommendations about policy. We disagree with the MOLC </w:t>
      </w:r>
      <w:r w:rsidR="00FC6C80">
        <w:rPr>
          <w:sz w:val="20"/>
          <w:szCs w:val="20"/>
        </w:rPr>
        <w:t>interpretation of</w:t>
      </w:r>
      <w:r w:rsidR="00FD1623">
        <w:rPr>
          <w:sz w:val="20"/>
          <w:szCs w:val="20"/>
        </w:rPr>
        <w:t xml:space="preserve"> </w:t>
      </w:r>
      <w:r w:rsidR="00FC6C80">
        <w:rPr>
          <w:sz w:val="20"/>
          <w:szCs w:val="20"/>
        </w:rPr>
        <w:t xml:space="preserve">D.C. </w:t>
      </w:r>
      <w:r>
        <w:rPr>
          <w:sz w:val="20"/>
          <w:szCs w:val="20"/>
        </w:rPr>
        <w:t xml:space="preserve">FOIA </w:t>
      </w:r>
      <w:r w:rsidR="00FC6C80">
        <w:rPr>
          <w:sz w:val="20"/>
          <w:szCs w:val="20"/>
        </w:rPr>
        <w:t>E</w:t>
      </w:r>
      <w:r>
        <w:rPr>
          <w:sz w:val="20"/>
          <w:szCs w:val="20"/>
        </w:rPr>
        <w:t>xemption</w:t>
      </w:r>
      <w:r w:rsidR="00FC6C80">
        <w:rPr>
          <w:sz w:val="20"/>
          <w:szCs w:val="20"/>
        </w:rPr>
        <w:t xml:space="preserve"> 4 and its federal FOIA counterpart Exemption 5, whose voluminous case law is instructive as the two are similar. </w:t>
      </w:r>
      <w:r>
        <w:rPr>
          <w:sz w:val="20"/>
          <w:szCs w:val="20"/>
        </w:rPr>
        <w:t xml:space="preserve"> </w:t>
      </w:r>
    </w:p>
    <w:p w14:paraId="073E96A2" w14:textId="5DDCC848" w:rsidR="0072162C" w:rsidRPr="0072162C" w:rsidRDefault="0072162C">
      <w:pPr>
        <w:pStyle w:val="FootnoteText"/>
        <w:rPr>
          <w:sz w:val="20"/>
          <w:szCs w:val="20"/>
        </w:rPr>
      </w:pPr>
      <w:r w:rsidRPr="0072162C">
        <w:rPr>
          <w:sz w:val="20"/>
          <w:szCs w:val="20"/>
        </w:rPr>
        <w:t xml:space="preserve">  </w:t>
      </w:r>
    </w:p>
  </w:footnote>
  <w:footnote w:id="4">
    <w:p w14:paraId="0E39F913" w14:textId="75C90FBC" w:rsidR="00F54254" w:rsidRDefault="00F54254">
      <w:pPr>
        <w:pStyle w:val="FootnoteText"/>
        <w:rPr>
          <w:sz w:val="20"/>
          <w:szCs w:val="20"/>
        </w:rPr>
      </w:pPr>
      <w:r w:rsidRPr="00F54254">
        <w:rPr>
          <w:rStyle w:val="FootnoteReference"/>
          <w:sz w:val="20"/>
          <w:szCs w:val="20"/>
        </w:rPr>
        <w:footnoteRef/>
      </w:r>
      <w:r w:rsidRPr="00F54254">
        <w:rPr>
          <w:sz w:val="20"/>
          <w:szCs w:val="20"/>
        </w:rPr>
        <w:t xml:space="preserve"> </w:t>
      </w:r>
      <w:r>
        <w:rPr>
          <w:sz w:val="20"/>
          <w:szCs w:val="20"/>
        </w:rPr>
        <w:t xml:space="preserve">OCFO, </w:t>
      </w:r>
      <w:r w:rsidRPr="00F54254">
        <w:rPr>
          <w:i/>
          <w:iCs/>
          <w:sz w:val="20"/>
          <w:szCs w:val="20"/>
        </w:rPr>
        <w:t>Financial Policies and Procedures Manual</w:t>
      </w:r>
      <w:r>
        <w:rPr>
          <w:sz w:val="20"/>
          <w:szCs w:val="20"/>
        </w:rPr>
        <w:t xml:space="preserve">, § 300200, “Fiscal Impact Statements.” Last updated 7/01/18. </w:t>
      </w:r>
      <w:r w:rsidR="000702D3">
        <w:rPr>
          <w:sz w:val="20"/>
          <w:szCs w:val="20"/>
        </w:rPr>
        <w:t xml:space="preserve">Attached. (Unpublished; obtained by FOIA request.) </w:t>
      </w:r>
    </w:p>
    <w:p w14:paraId="6A1CAFB9" w14:textId="77777777" w:rsidR="007A20B2" w:rsidRPr="00F54254" w:rsidRDefault="007A20B2">
      <w:pPr>
        <w:pStyle w:val="FootnoteText"/>
        <w:rPr>
          <w:sz w:val="20"/>
          <w:szCs w:val="20"/>
        </w:rPr>
      </w:pPr>
    </w:p>
  </w:footnote>
  <w:footnote w:id="5">
    <w:p w14:paraId="605F5917" w14:textId="2A94EBE6" w:rsidR="009F2F9B" w:rsidRPr="009F2F9B" w:rsidRDefault="009F2F9B">
      <w:pPr>
        <w:pStyle w:val="FootnoteText"/>
        <w:rPr>
          <w:sz w:val="20"/>
          <w:szCs w:val="20"/>
        </w:rPr>
      </w:pPr>
      <w:r w:rsidRPr="009F2F9B">
        <w:rPr>
          <w:rStyle w:val="FootnoteReference"/>
          <w:sz w:val="20"/>
          <w:szCs w:val="20"/>
        </w:rPr>
        <w:footnoteRef/>
      </w:r>
      <w:r w:rsidRPr="009F2F9B">
        <w:rPr>
          <w:sz w:val="20"/>
          <w:szCs w:val="20"/>
        </w:rPr>
        <w:t xml:space="preserve"> </w:t>
      </w:r>
      <w:r w:rsidR="00D42CD2">
        <w:rPr>
          <w:sz w:val="20"/>
          <w:szCs w:val="20"/>
        </w:rPr>
        <w:t>The standards spell out not only research to be done but also that t</w:t>
      </w:r>
      <w:r w:rsidR="00D42CD2" w:rsidRPr="00FC6C80">
        <w:rPr>
          <w:sz w:val="20"/>
          <w:szCs w:val="20"/>
        </w:rPr>
        <w:t>he analyst “must preserve all background information including phone notes, summary of interviews, emails, and all other documentation that supports the FIS.</w:t>
      </w:r>
      <w:r w:rsidR="00D42CD2">
        <w:t xml:space="preserve">” </w:t>
      </w:r>
      <w:r w:rsidR="00FD1623" w:rsidRPr="00FD1623">
        <w:rPr>
          <w:sz w:val="20"/>
          <w:szCs w:val="20"/>
        </w:rPr>
        <w:t>In response to our request,</w:t>
      </w:r>
      <w:r w:rsidR="00FD1623">
        <w:t xml:space="preserve"> </w:t>
      </w:r>
      <w:r w:rsidR="00D42CD2" w:rsidRPr="00D42CD2">
        <w:rPr>
          <w:sz w:val="20"/>
          <w:szCs w:val="20"/>
        </w:rPr>
        <w:t xml:space="preserve">OCFO found </w:t>
      </w:r>
      <w:r w:rsidR="00D42CD2">
        <w:rPr>
          <w:sz w:val="20"/>
          <w:szCs w:val="20"/>
        </w:rPr>
        <w:t>no records of research other than emails from executive agency officials. I</w:t>
      </w:r>
      <w:r w:rsidRPr="000702D3">
        <w:rPr>
          <w:sz w:val="20"/>
          <w:szCs w:val="20"/>
        </w:rPr>
        <w:t xml:space="preserve">f other information was collected </w:t>
      </w:r>
      <w:r>
        <w:rPr>
          <w:sz w:val="20"/>
          <w:szCs w:val="20"/>
        </w:rPr>
        <w:t xml:space="preserve">in the case of the police bill </w:t>
      </w:r>
      <w:r w:rsidRPr="000702D3">
        <w:rPr>
          <w:sz w:val="20"/>
          <w:szCs w:val="20"/>
        </w:rPr>
        <w:t>but not preserved, that would violate the standards as well</w:t>
      </w:r>
      <w:r>
        <w:rPr>
          <w:sz w:val="20"/>
          <w:szCs w:val="20"/>
        </w:rPr>
        <w:t>.</w:t>
      </w:r>
    </w:p>
  </w:footnote>
  <w:footnote w:id="6">
    <w:p w14:paraId="06E6C2B3" w14:textId="22668287" w:rsidR="009F2F9B" w:rsidRDefault="009F2F9B" w:rsidP="009F2F9B">
      <w:pPr>
        <w:pStyle w:val="FootnoteText"/>
        <w:rPr>
          <w:sz w:val="20"/>
          <w:szCs w:val="20"/>
        </w:rPr>
      </w:pPr>
      <w:r w:rsidRPr="009F2F9B">
        <w:rPr>
          <w:rStyle w:val="FootnoteReference"/>
          <w:sz w:val="20"/>
          <w:szCs w:val="20"/>
        </w:rPr>
        <w:footnoteRef/>
      </w:r>
      <w:r w:rsidRPr="009F2F9B">
        <w:rPr>
          <w:sz w:val="20"/>
          <w:szCs w:val="20"/>
        </w:rPr>
        <w:t xml:space="preserve"> </w:t>
      </w:r>
      <w:r w:rsidR="00D42CD2">
        <w:rPr>
          <w:sz w:val="20"/>
          <w:szCs w:val="20"/>
        </w:rPr>
        <w:t>The</w:t>
      </w:r>
      <w:r>
        <w:rPr>
          <w:sz w:val="20"/>
          <w:szCs w:val="20"/>
        </w:rPr>
        <w:t xml:space="preserve"> OCFO witness, Dr. Fitzroy Lee, </w:t>
      </w:r>
      <w:r w:rsidR="00FD1623">
        <w:rPr>
          <w:sz w:val="20"/>
          <w:szCs w:val="20"/>
        </w:rPr>
        <w:t xml:space="preserve">did </w:t>
      </w:r>
      <w:r>
        <w:rPr>
          <w:sz w:val="20"/>
          <w:szCs w:val="20"/>
        </w:rPr>
        <w:t xml:space="preserve">not answer questions about the </w:t>
      </w:r>
      <w:r w:rsidR="00FD1623">
        <w:rPr>
          <w:sz w:val="20"/>
          <w:szCs w:val="20"/>
        </w:rPr>
        <w:t xml:space="preserve">police reform bill </w:t>
      </w:r>
      <w:r>
        <w:rPr>
          <w:sz w:val="20"/>
          <w:szCs w:val="20"/>
        </w:rPr>
        <w:t xml:space="preserve">FIS of concern here. He said </w:t>
      </w:r>
      <w:r w:rsidR="00FD1623">
        <w:rPr>
          <w:sz w:val="20"/>
          <w:szCs w:val="20"/>
        </w:rPr>
        <w:t xml:space="preserve">only that in general, </w:t>
      </w:r>
      <w:r>
        <w:rPr>
          <w:sz w:val="20"/>
          <w:szCs w:val="20"/>
        </w:rPr>
        <w:t>OCFO does not “accept agency data without scrutiny” and checks agency data to see “if it’s meaningful and makes sense</w:t>
      </w:r>
      <w:r w:rsidR="00D72829">
        <w:rPr>
          <w:sz w:val="20"/>
          <w:szCs w:val="20"/>
        </w:rPr>
        <w:t>.</w:t>
      </w:r>
      <w:r>
        <w:rPr>
          <w:sz w:val="20"/>
          <w:szCs w:val="20"/>
        </w:rPr>
        <w:t xml:space="preserve">” </w:t>
      </w:r>
      <w:r w:rsidR="00D72829">
        <w:rPr>
          <w:sz w:val="20"/>
          <w:szCs w:val="20"/>
        </w:rPr>
        <w:t xml:space="preserve">Dr. </w:t>
      </w:r>
      <w:r w:rsidR="00FD1623">
        <w:rPr>
          <w:sz w:val="20"/>
          <w:szCs w:val="20"/>
        </w:rPr>
        <w:t>Lee</w:t>
      </w:r>
      <w:r w:rsidR="00D72829">
        <w:rPr>
          <w:sz w:val="20"/>
          <w:szCs w:val="20"/>
        </w:rPr>
        <w:t xml:space="preserve"> </w:t>
      </w:r>
      <w:r w:rsidR="00DE6703">
        <w:rPr>
          <w:sz w:val="20"/>
          <w:szCs w:val="20"/>
        </w:rPr>
        <w:t>said</w:t>
      </w:r>
      <w:r w:rsidR="00FD1623">
        <w:rPr>
          <w:sz w:val="20"/>
          <w:szCs w:val="20"/>
        </w:rPr>
        <w:t xml:space="preserve"> </w:t>
      </w:r>
      <w:r>
        <w:rPr>
          <w:sz w:val="20"/>
          <w:szCs w:val="20"/>
        </w:rPr>
        <w:t xml:space="preserve">agency interaction </w:t>
      </w:r>
      <w:r w:rsidR="00D72829">
        <w:rPr>
          <w:sz w:val="20"/>
          <w:szCs w:val="20"/>
        </w:rPr>
        <w:t xml:space="preserve">is </w:t>
      </w:r>
      <w:r w:rsidR="00DE6703">
        <w:rPr>
          <w:sz w:val="20"/>
          <w:szCs w:val="20"/>
        </w:rPr>
        <w:t>frequent,</w:t>
      </w:r>
      <w:r>
        <w:rPr>
          <w:sz w:val="20"/>
          <w:szCs w:val="20"/>
        </w:rPr>
        <w:t xml:space="preserve"> </w:t>
      </w:r>
      <w:r w:rsidR="00D72829">
        <w:rPr>
          <w:sz w:val="20"/>
          <w:szCs w:val="20"/>
        </w:rPr>
        <w:t xml:space="preserve">but </w:t>
      </w:r>
      <w:r w:rsidR="00FD1623">
        <w:rPr>
          <w:sz w:val="20"/>
          <w:szCs w:val="20"/>
        </w:rPr>
        <w:t xml:space="preserve">he </w:t>
      </w:r>
      <w:r>
        <w:rPr>
          <w:sz w:val="20"/>
          <w:szCs w:val="20"/>
        </w:rPr>
        <w:t xml:space="preserve">could not cite any examples of pushing back on agency cost figures. Nor could he cite any process for systematic review of </w:t>
      </w:r>
      <w:r w:rsidR="00FD1623">
        <w:rPr>
          <w:sz w:val="20"/>
          <w:szCs w:val="20"/>
        </w:rPr>
        <w:t xml:space="preserve">FIS </w:t>
      </w:r>
      <w:r>
        <w:rPr>
          <w:sz w:val="20"/>
          <w:szCs w:val="20"/>
        </w:rPr>
        <w:t xml:space="preserve">accuracy. See Committee on Business and Economic Development, Performance Oversight Hearing, February 14, 2024. Hearing video at </w:t>
      </w:r>
      <w:hyperlink r:id="rId3" w:history="1">
        <w:r w:rsidRPr="00C03194">
          <w:rPr>
            <w:rStyle w:val="Hyperlink"/>
            <w:sz w:val="20"/>
            <w:szCs w:val="20"/>
          </w:rPr>
          <w:t>https://dc.granicus.com/MediaPlayer.php?view_id=41&amp;clip_id=8696</w:t>
        </w:r>
      </w:hyperlink>
      <w:r>
        <w:rPr>
          <w:sz w:val="20"/>
          <w:szCs w:val="20"/>
        </w:rPr>
        <w:t xml:space="preserve"> (</w:t>
      </w:r>
      <w:r w:rsidR="00D42CD2">
        <w:rPr>
          <w:sz w:val="20"/>
          <w:szCs w:val="20"/>
        </w:rPr>
        <w:t xml:space="preserve">discussion </w:t>
      </w:r>
      <w:r>
        <w:rPr>
          <w:sz w:val="20"/>
          <w:szCs w:val="20"/>
        </w:rPr>
        <w:t>beginning at time stamp 34:00).</w:t>
      </w:r>
    </w:p>
    <w:p w14:paraId="4B6AA371" w14:textId="5DC7F437" w:rsidR="009F2F9B" w:rsidRPr="009F2F9B" w:rsidRDefault="009F2F9B">
      <w:pPr>
        <w:pStyle w:val="FootnoteText"/>
        <w:rPr>
          <w:sz w:val="20"/>
          <w:szCs w:val="20"/>
        </w:rPr>
      </w:pPr>
    </w:p>
  </w:footnote>
  <w:footnote w:id="7">
    <w:p w14:paraId="1D57922E" w14:textId="51C9250F" w:rsidR="00B328C9" w:rsidRDefault="00B328C9">
      <w:pPr>
        <w:pStyle w:val="FootnoteText"/>
        <w:rPr>
          <w:sz w:val="20"/>
          <w:szCs w:val="20"/>
        </w:rPr>
      </w:pPr>
      <w:r w:rsidRPr="00B328C9">
        <w:rPr>
          <w:rStyle w:val="FootnoteReference"/>
          <w:sz w:val="20"/>
          <w:szCs w:val="20"/>
        </w:rPr>
        <w:footnoteRef/>
      </w:r>
      <w:r w:rsidRPr="00B328C9">
        <w:rPr>
          <w:sz w:val="20"/>
          <w:szCs w:val="20"/>
        </w:rPr>
        <w:t xml:space="preserve"> </w:t>
      </w:r>
      <w:r>
        <w:rPr>
          <w:sz w:val="20"/>
          <w:szCs w:val="20"/>
        </w:rPr>
        <w:t>Our Coalition has monitored FOIA processing for years and we have learned the District government does not analyze how requests are handled</w:t>
      </w:r>
      <w:r w:rsidR="00DE3860">
        <w:rPr>
          <w:sz w:val="20"/>
          <w:szCs w:val="20"/>
        </w:rPr>
        <w:t xml:space="preserve"> or</w:t>
      </w:r>
      <w:r>
        <w:rPr>
          <w:sz w:val="20"/>
          <w:szCs w:val="20"/>
        </w:rPr>
        <w:t xml:space="preserve"> variation in </w:t>
      </w:r>
      <w:r w:rsidR="00DE3860">
        <w:rPr>
          <w:sz w:val="20"/>
          <w:szCs w:val="20"/>
        </w:rPr>
        <w:t>cost-</w:t>
      </w:r>
      <w:r>
        <w:rPr>
          <w:sz w:val="20"/>
          <w:szCs w:val="20"/>
        </w:rPr>
        <w:t xml:space="preserve">efficiency, so agencies </w:t>
      </w:r>
      <w:r w:rsidR="00DE3860">
        <w:rPr>
          <w:sz w:val="20"/>
          <w:szCs w:val="20"/>
        </w:rPr>
        <w:t xml:space="preserve">probably lacked </w:t>
      </w:r>
      <w:r>
        <w:rPr>
          <w:sz w:val="20"/>
          <w:szCs w:val="20"/>
        </w:rPr>
        <w:t xml:space="preserve">a sound basis to estimate the impact of the new access legislation. </w:t>
      </w:r>
      <w:r w:rsidR="00ED5C84">
        <w:rPr>
          <w:sz w:val="20"/>
          <w:szCs w:val="20"/>
        </w:rPr>
        <w:t xml:space="preserve">In the police context, it is likely any </w:t>
      </w:r>
      <w:r w:rsidR="00DE3860">
        <w:rPr>
          <w:sz w:val="20"/>
          <w:szCs w:val="20"/>
        </w:rPr>
        <w:t xml:space="preserve">cost </w:t>
      </w:r>
      <w:r w:rsidR="00ED5C84">
        <w:rPr>
          <w:sz w:val="20"/>
          <w:szCs w:val="20"/>
        </w:rPr>
        <w:t xml:space="preserve">estimate for records processing is driven by time-consuming redaction based on the agency view of the law of privacy protection </w:t>
      </w:r>
      <w:r w:rsidR="00DE3860">
        <w:rPr>
          <w:sz w:val="20"/>
          <w:szCs w:val="20"/>
        </w:rPr>
        <w:t xml:space="preserve">that been </w:t>
      </w:r>
      <w:r w:rsidR="00ED5C84">
        <w:rPr>
          <w:sz w:val="20"/>
          <w:szCs w:val="20"/>
        </w:rPr>
        <w:t xml:space="preserve">rejected by the D.C. courts and the Office of Open Government. </w:t>
      </w:r>
    </w:p>
    <w:p w14:paraId="636F17C4" w14:textId="77777777" w:rsidR="00B328C9" w:rsidRPr="00B328C9" w:rsidRDefault="00B328C9">
      <w:pPr>
        <w:pStyle w:val="FootnoteText"/>
        <w:rPr>
          <w:sz w:val="20"/>
          <w:szCs w:val="20"/>
        </w:rPr>
      </w:pPr>
    </w:p>
  </w:footnote>
  <w:footnote w:id="8">
    <w:p w14:paraId="2BB8A423" w14:textId="42D21FDE" w:rsidR="0017782A" w:rsidRDefault="0017782A">
      <w:pPr>
        <w:pStyle w:val="FootnoteText"/>
      </w:pPr>
      <w:r w:rsidRPr="0017782A">
        <w:rPr>
          <w:rStyle w:val="FootnoteReference"/>
          <w:sz w:val="20"/>
          <w:szCs w:val="20"/>
        </w:rPr>
        <w:footnoteRef/>
      </w:r>
      <w:r w:rsidRPr="0017782A">
        <w:rPr>
          <w:sz w:val="20"/>
          <w:szCs w:val="20"/>
        </w:rPr>
        <w:t xml:space="preserve"> </w:t>
      </w:r>
      <w:r w:rsidR="005C6738">
        <w:rPr>
          <w:sz w:val="20"/>
          <w:szCs w:val="20"/>
        </w:rPr>
        <w:t xml:space="preserve">On the sky-high estimates, </w:t>
      </w:r>
      <w:r w:rsidR="005C6738" w:rsidRPr="005C6738">
        <w:rPr>
          <w:i/>
          <w:iCs/>
          <w:sz w:val="20"/>
          <w:szCs w:val="20"/>
        </w:rPr>
        <w:t>see</w:t>
      </w:r>
      <w:r w:rsidR="005C6738">
        <w:rPr>
          <w:sz w:val="20"/>
          <w:szCs w:val="20"/>
        </w:rPr>
        <w:t xml:space="preserve"> </w:t>
      </w:r>
      <w:r w:rsidR="00A11AA0">
        <w:rPr>
          <w:sz w:val="20"/>
          <w:szCs w:val="20"/>
        </w:rPr>
        <w:t>Martin Austermuhle</w:t>
      </w:r>
      <w:r w:rsidR="002A6736">
        <w:rPr>
          <w:sz w:val="20"/>
          <w:szCs w:val="20"/>
        </w:rPr>
        <w:t xml:space="preserve">, </w:t>
      </w:r>
      <w:r w:rsidR="00A11AA0">
        <w:rPr>
          <w:sz w:val="20"/>
          <w:szCs w:val="20"/>
        </w:rPr>
        <w:t xml:space="preserve">WAMU (Sept. 14, 2015),  </w:t>
      </w:r>
      <w:hyperlink r:id="rId4" w:history="1">
        <w:r w:rsidR="00A11AA0" w:rsidRPr="00FE7F57">
          <w:rPr>
            <w:rStyle w:val="Hyperlink"/>
            <w:sz w:val="20"/>
            <w:szCs w:val="20"/>
          </w:rPr>
          <w:t>http://tinyurl.com/yvfn8puv</w:t>
        </w:r>
      </w:hyperlink>
      <w:r w:rsidR="00A11AA0">
        <w:rPr>
          <w:sz w:val="20"/>
          <w:szCs w:val="20"/>
        </w:rPr>
        <w:t xml:space="preserve">. </w:t>
      </w:r>
      <w:r w:rsidR="003D3B3A">
        <w:rPr>
          <w:sz w:val="20"/>
          <w:szCs w:val="20"/>
        </w:rPr>
        <w:t xml:space="preserve">On the experience that shows how flawed were those early guesses, see the mandated MPD body-worn camera data reports. </w:t>
      </w:r>
      <w:r w:rsidR="005C6738">
        <w:rPr>
          <w:sz w:val="20"/>
          <w:szCs w:val="20"/>
        </w:rPr>
        <w:t xml:space="preserve">The latest available figures </w:t>
      </w:r>
      <w:r w:rsidR="002A6736">
        <w:rPr>
          <w:sz w:val="20"/>
          <w:szCs w:val="20"/>
        </w:rPr>
        <w:t>(</w:t>
      </w:r>
      <w:r w:rsidR="00D13DC6">
        <w:rPr>
          <w:sz w:val="20"/>
          <w:szCs w:val="20"/>
        </w:rPr>
        <w:t xml:space="preserve">from </w:t>
      </w:r>
      <w:r w:rsidR="003D3B3A">
        <w:rPr>
          <w:sz w:val="20"/>
          <w:szCs w:val="20"/>
        </w:rPr>
        <w:t xml:space="preserve">half of </w:t>
      </w:r>
      <w:r w:rsidR="00D13DC6">
        <w:rPr>
          <w:sz w:val="20"/>
          <w:szCs w:val="20"/>
        </w:rPr>
        <w:t>2022</w:t>
      </w:r>
      <w:r w:rsidR="002A6736">
        <w:rPr>
          <w:sz w:val="20"/>
          <w:szCs w:val="20"/>
        </w:rPr>
        <w:t>)</w:t>
      </w:r>
      <w:r w:rsidR="00D13DC6">
        <w:rPr>
          <w:sz w:val="20"/>
          <w:szCs w:val="20"/>
        </w:rPr>
        <w:t xml:space="preserve"> </w:t>
      </w:r>
      <w:r w:rsidR="005C6738">
        <w:rPr>
          <w:sz w:val="20"/>
          <w:szCs w:val="20"/>
        </w:rPr>
        <w:t>show</w:t>
      </w:r>
      <w:r w:rsidR="003D3B3A">
        <w:rPr>
          <w:sz w:val="20"/>
          <w:szCs w:val="20"/>
        </w:rPr>
        <w:t xml:space="preserve"> several hundred re</w:t>
      </w:r>
      <w:r w:rsidR="002A6736">
        <w:rPr>
          <w:sz w:val="20"/>
          <w:szCs w:val="20"/>
        </w:rPr>
        <w:t>q</w:t>
      </w:r>
      <w:r w:rsidR="003D3B3A">
        <w:rPr>
          <w:sz w:val="20"/>
          <w:szCs w:val="20"/>
        </w:rPr>
        <w:t>uests</w:t>
      </w:r>
      <w:r w:rsidR="002A6736">
        <w:rPr>
          <w:sz w:val="20"/>
          <w:szCs w:val="20"/>
        </w:rPr>
        <w:t xml:space="preserve"> processed at a cost of </w:t>
      </w:r>
      <w:r w:rsidR="005C6738" w:rsidRPr="005C6738">
        <w:rPr>
          <w:sz w:val="20"/>
          <w:szCs w:val="20"/>
        </w:rPr>
        <w:t>$68,000</w:t>
      </w:r>
      <w:r w:rsidR="002A6736">
        <w:rPr>
          <w:sz w:val="20"/>
          <w:szCs w:val="20"/>
        </w:rPr>
        <w:t>.</w:t>
      </w:r>
      <w:r w:rsidR="00D13DC6">
        <w:rPr>
          <w:i/>
          <w:iCs/>
          <w:sz w:val="20"/>
          <w:szCs w:val="20"/>
        </w:rPr>
        <w:t xml:space="preserve"> </w:t>
      </w:r>
      <w:r w:rsidRPr="0017782A">
        <w:rPr>
          <w:i/>
          <w:iCs/>
          <w:sz w:val="20"/>
          <w:szCs w:val="20"/>
        </w:rPr>
        <w:t>MPD Use of Body-Worn Cameras – First Half 2022</w:t>
      </w:r>
      <w:r w:rsidRPr="0017782A">
        <w:rPr>
          <w:sz w:val="20"/>
          <w:szCs w:val="20"/>
        </w:rPr>
        <w:t xml:space="preserve"> (Februar</w:t>
      </w:r>
      <w:r>
        <w:rPr>
          <w:sz w:val="20"/>
          <w:szCs w:val="20"/>
        </w:rPr>
        <w:t>y</w:t>
      </w:r>
      <w:r w:rsidRPr="0017782A">
        <w:rPr>
          <w:sz w:val="20"/>
          <w:szCs w:val="20"/>
        </w:rPr>
        <w:t xml:space="preserve"> 2023). Available at: </w:t>
      </w:r>
      <w:hyperlink r:id="rId5" w:history="1">
        <w:r w:rsidRPr="0017782A">
          <w:rPr>
            <w:rStyle w:val="Hyperlink"/>
            <w:sz w:val="20"/>
            <w:szCs w:val="20"/>
          </w:rPr>
          <w:t>https://mpdc.dc.gov/sites/default/files/dc/sites/mpdc/publication/attachments/RC25-0013-BWC_Introduction.pdf</w:t>
        </w:r>
      </w:hyperlink>
      <w:r>
        <w:t xml:space="preserve">. </w:t>
      </w:r>
    </w:p>
    <w:p w14:paraId="243C3F01" w14:textId="77777777" w:rsidR="0017782A" w:rsidRDefault="0017782A">
      <w:pPr>
        <w:pStyle w:val="FootnoteText"/>
      </w:pPr>
    </w:p>
  </w:footnote>
  <w:footnote w:id="9">
    <w:p w14:paraId="631C7FBA" w14:textId="0CD7CED4" w:rsidR="003D2D88" w:rsidRDefault="003D2D88">
      <w:pPr>
        <w:pStyle w:val="FootnoteText"/>
        <w:rPr>
          <w:sz w:val="20"/>
          <w:szCs w:val="20"/>
        </w:rPr>
      </w:pPr>
      <w:r w:rsidRPr="003D2D88">
        <w:rPr>
          <w:rStyle w:val="FootnoteReference"/>
          <w:sz w:val="20"/>
          <w:szCs w:val="20"/>
        </w:rPr>
        <w:footnoteRef/>
      </w:r>
      <w:r w:rsidRPr="003D2D88">
        <w:rPr>
          <w:sz w:val="20"/>
          <w:szCs w:val="20"/>
        </w:rPr>
        <w:t xml:space="preserve"> </w:t>
      </w:r>
      <w:r>
        <w:rPr>
          <w:sz w:val="20"/>
          <w:szCs w:val="20"/>
        </w:rPr>
        <w:t>Congress has debated the subject for decades</w:t>
      </w:r>
      <w:r w:rsidR="00053E98">
        <w:rPr>
          <w:sz w:val="20"/>
          <w:szCs w:val="20"/>
        </w:rPr>
        <w:t>. For example, s</w:t>
      </w:r>
      <w:r>
        <w:rPr>
          <w:sz w:val="20"/>
          <w:szCs w:val="20"/>
        </w:rPr>
        <w:t xml:space="preserve">ee </w:t>
      </w:r>
      <w:r w:rsidR="00DE3860">
        <w:rPr>
          <w:sz w:val="20"/>
          <w:szCs w:val="20"/>
        </w:rPr>
        <w:t xml:space="preserve">the </w:t>
      </w:r>
      <w:r>
        <w:rPr>
          <w:sz w:val="20"/>
          <w:szCs w:val="20"/>
        </w:rPr>
        <w:t>CRS paper</w:t>
      </w:r>
      <w:r w:rsidR="00053E98">
        <w:rPr>
          <w:sz w:val="20"/>
          <w:szCs w:val="20"/>
        </w:rPr>
        <w:t xml:space="preserve"> </w:t>
      </w:r>
      <w:r>
        <w:rPr>
          <w:sz w:val="20"/>
          <w:szCs w:val="20"/>
        </w:rPr>
        <w:t>on dynamic models</w:t>
      </w:r>
      <w:r w:rsidR="00DE3860">
        <w:rPr>
          <w:sz w:val="20"/>
          <w:szCs w:val="20"/>
        </w:rPr>
        <w:t xml:space="preserve"> </w:t>
      </w:r>
      <w:r w:rsidR="00DE3860">
        <w:rPr>
          <w:sz w:val="20"/>
          <w:szCs w:val="20"/>
        </w:rPr>
        <w:t>(note 2, above)</w:t>
      </w:r>
      <w:r>
        <w:rPr>
          <w:sz w:val="20"/>
          <w:szCs w:val="20"/>
        </w:rPr>
        <w:t xml:space="preserve">, an approach </w:t>
      </w:r>
      <w:r w:rsidR="00DE3860">
        <w:rPr>
          <w:sz w:val="20"/>
          <w:szCs w:val="20"/>
        </w:rPr>
        <w:t xml:space="preserve">to improve predictions based only on past data by </w:t>
      </w:r>
      <w:r w:rsidR="00DE6703">
        <w:rPr>
          <w:sz w:val="20"/>
          <w:szCs w:val="20"/>
        </w:rPr>
        <w:t>considering how</w:t>
      </w:r>
      <w:r w:rsidR="00DE3860">
        <w:rPr>
          <w:sz w:val="20"/>
          <w:szCs w:val="20"/>
        </w:rPr>
        <w:t xml:space="preserve"> behavior would change under the proposed legislation. </w:t>
      </w:r>
      <w:r>
        <w:rPr>
          <w:sz w:val="20"/>
          <w:szCs w:val="20"/>
        </w:rPr>
        <w:t xml:space="preserve"> </w:t>
      </w:r>
      <w:r w:rsidR="00DE3860">
        <w:rPr>
          <w:sz w:val="20"/>
          <w:szCs w:val="20"/>
        </w:rPr>
        <w:t>Clearly, volume of likely requests for novel FOIA access to police records is hard to estimate from past volume.</w:t>
      </w:r>
    </w:p>
    <w:p w14:paraId="30258C64" w14:textId="77777777" w:rsidR="007B6B01" w:rsidRPr="003D2D88" w:rsidRDefault="007B6B01">
      <w:pPr>
        <w:pStyle w:val="FootnoteText"/>
        <w:rPr>
          <w:sz w:val="20"/>
          <w:szCs w:val="20"/>
        </w:rPr>
      </w:pPr>
    </w:p>
  </w:footnote>
  <w:footnote w:id="10">
    <w:p w14:paraId="28EC0384" w14:textId="4A428636" w:rsidR="007231CD" w:rsidRDefault="007231CD">
      <w:pPr>
        <w:pStyle w:val="FootnoteText"/>
        <w:rPr>
          <w:sz w:val="20"/>
          <w:szCs w:val="20"/>
        </w:rPr>
      </w:pPr>
      <w:r w:rsidRPr="007231CD">
        <w:rPr>
          <w:rStyle w:val="FootnoteReference"/>
          <w:sz w:val="20"/>
          <w:szCs w:val="20"/>
        </w:rPr>
        <w:footnoteRef/>
      </w:r>
      <w:r w:rsidRPr="007231CD">
        <w:rPr>
          <w:sz w:val="20"/>
          <w:szCs w:val="20"/>
        </w:rPr>
        <w:t xml:space="preserve"> </w:t>
      </w:r>
      <w:r>
        <w:rPr>
          <w:sz w:val="20"/>
          <w:szCs w:val="20"/>
        </w:rPr>
        <w:t xml:space="preserve">Bill 19-616, FIS dated November 29, 2012. Available at: </w:t>
      </w:r>
      <w:hyperlink r:id="rId6" w:history="1">
        <w:r w:rsidRPr="00C03194">
          <w:rPr>
            <w:rStyle w:val="Hyperlink"/>
            <w:sz w:val="20"/>
            <w:szCs w:val="20"/>
          </w:rPr>
          <w:t>http://app.cfo.dc.gov/services/fiscal_impact/pdf</w:t>
        </w:r>
        <w:r w:rsidRPr="00C03194">
          <w:rPr>
            <w:rStyle w:val="Hyperlink"/>
            <w:sz w:val="20"/>
            <w:szCs w:val="20"/>
          </w:rPr>
          <w:t>/</w:t>
        </w:r>
        <w:r w:rsidRPr="00C03194">
          <w:rPr>
            <w:rStyle w:val="Hyperlink"/>
            <w:sz w:val="20"/>
            <w:szCs w:val="20"/>
          </w:rPr>
          <w:t>spring09/FISFireandEmergencyMedicalServicesAmendmentActof2012.pdf</w:t>
        </w:r>
      </w:hyperlink>
      <w:r>
        <w:rPr>
          <w:sz w:val="20"/>
          <w:szCs w:val="20"/>
        </w:rPr>
        <w:t xml:space="preserve">. </w:t>
      </w:r>
    </w:p>
    <w:p w14:paraId="535BBBD0" w14:textId="77777777" w:rsidR="007231CD" w:rsidRPr="007231CD" w:rsidRDefault="007231CD">
      <w:pPr>
        <w:pStyle w:val="FootnoteText"/>
        <w:rPr>
          <w:sz w:val="20"/>
          <w:szCs w:val="20"/>
        </w:rPr>
      </w:pPr>
    </w:p>
  </w:footnote>
  <w:footnote w:id="11">
    <w:p w14:paraId="4DEE6269" w14:textId="30AB3839" w:rsidR="00F24E73" w:rsidRDefault="00F24E73">
      <w:pPr>
        <w:pStyle w:val="FootnoteText"/>
        <w:rPr>
          <w:sz w:val="20"/>
          <w:szCs w:val="20"/>
        </w:rPr>
      </w:pPr>
      <w:r w:rsidRPr="00F24E73">
        <w:rPr>
          <w:rStyle w:val="FootnoteReference"/>
          <w:sz w:val="20"/>
          <w:szCs w:val="20"/>
        </w:rPr>
        <w:footnoteRef/>
      </w:r>
      <w:r w:rsidRPr="00F24E73">
        <w:rPr>
          <w:sz w:val="20"/>
          <w:szCs w:val="20"/>
        </w:rPr>
        <w:t xml:space="preserve"> </w:t>
      </w:r>
      <w:r w:rsidR="00EE7DAB">
        <w:rPr>
          <w:sz w:val="20"/>
          <w:szCs w:val="20"/>
        </w:rPr>
        <w:t xml:space="preserve">Committee on the Judiciary, FY 2019 Budget Report, p. 135 (citing </w:t>
      </w:r>
      <w:r w:rsidR="00977C6F">
        <w:rPr>
          <w:sz w:val="20"/>
          <w:szCs w:val="20"/>
        </w:rPr>
        <w:t xml:space="preserve">2017 </w:t>
      </w:r>
      <w:r w:rsidR="00EE7DAB">
        <w:rPr>
          <w:sz w:val="20"/>
          <w:szCs w:val="20"/>
        </w:rPr>
        <w:t xml:space="preserve">FEMS </w:t>
      </w:r>
      <w:r w:rsidR="00977C6F">
        <w:rPr>
          <w:sz w:val="20"/>
          <w:szCs w:val="20"/>
        </w:rPr>
        <w:t xml:space="preserve">annual report </w:t>
      </w:r>
      <w:r w:rsidR="00EE7DAB">
        <w:rPr>
          <w:sz w:val="20"/>
          <w:szCs w:val="20"/>
        </w:rPr>
        <w:t xml:space="preserve">data). </w:t>
      </w:r>
      <w:r w:rsidR="00977C6F">
        <w:rPr>
          <w:sz w:val="20"/>
          <w:szCs w:val="20"/>
        </w:rPr>
        <w:t xml:space="preserve">Available at: </w:t>
      </w:r>
      <w:hyperlink r:id="rId7" w:history="1">
        <w:r w:rsidR="00977C6F" w:rsidRPr="00C03194">
          <w:rPr>
            <w:rStyle w:val="Hyperlink"/>
            <w:sz w:val="20"/>
            <w:szCs w:val="20"/>
          </w:rPr>
          <w:t>https://dccouncil.gov/wp-content/uploads/2018/11/Committee-on-the-Judiciary-Public-Safety-FY19-Budget-Report.pdf</w:t>
        </w:r>
      </w:hyperlink>
      <w:r w:rsidR="00977C6F">
        <w:rPr>
          <w:sz w:val="20"/>
          <w:szCs w:val="20"/>
        </w:rPr>
        <w:t xml:space="preserve">. </w:t>
      </w:r>
    </w:p>
    <w:p w14:paraId="4A0EE0BC" w14:textId="3398BB6C" w:rsidR="00EE7DAB" w:rsidRPr="00F24E73" w:rsidRDefault="00977C6F">
      <w:pPr>
        <w:pStyle w:val="FootnoteText"/>
        <w:rPr>
          <w:sz w:val="20"/>
          <w:szCs w:val="20"/>
        </w:rPr>
      </w:pPr>
      <w:r>
        <w:rPr>
          <w:sz w:val="20"/>
          <w:szCs w:val="20"/>
        </w:rPr>
        <w:t xml:space="preserve"> </w:t>
      </w:r>
    </w:p>
  </w:footnote>
  <w:footnote w:id="12">
    <w:p w14:paraId="326A5F7D" w14:textId="44F8B63A" w:rsidR="002D0682" w:rsidRDefault="002D0682">
      <w:pPr>
        <w:pStyle w:val="FootnoteText"/>
        <w:rPr>
          <w:sz w:val="20"/>
          <w:szCs w:val="20"/>
        </w:rPr>
      </w:pPr>
      <w:r w:rsidRPr="002D0682">
        <w:rPr>
          <w:rStyle w:val="FootnoteReference"/>
          <w:sz w:val="20"/>
          <w:szCs w:val="20"/>
        </w:rPr>
        <w:footnoteRef/>
      </w:r>
      <w:r w:rsidRPr="002D0682">
        <w:rPr>
          <w:sz w:val="20"/>
          <w:szCs w:val="20"/>
        </w:rPr>
        <w:t xml:space="preserve"> </w:t>
      </w:r>
      <w:r>
        <w:rPr>
          <w:sz w:val="20"/>
          <w:szCs w:val="20"/>
        </w:rPr>
        <w:t xml:space="preserve">D.C. Law 19-331, Revised FIS dated March 3, 2016. Available at: </w:t>
      </w:r>
      <w:hyperlink r:id="rId8" w:history="1">
        <w:r w:rsidR="00310860" w:rsidRPr="00C03194">
          <w:rPr>
            <w:rStyle w:val="Hyperlink"/>
            <w:sz w:val="20"/>
            <w:szCs w:val="20"/>
          </w:rPr>
          <w:t>http://app.cfo.dc.gov/services/fiscal_impact/pdf/spring09/FIS%20-%20FEMS%20Employee%20Presumptive%20Disability%20Amendment%20Act.pdf</w:t>
        </w:r>
      </w:hyperlink>
      <w:r w:rsidR="00310860">
        <w:rPr>
          <w:sz w:val="20"/>
          <w:szCs w:val="20"/>
        </w:rPr>
        <w:t xml:space="preserve">. </w:t>
      </w:r>
    </w:p>
    <w:p w14:paraId="50D13F8D" w14:textId="77777777" w:rsidR="00EE7DAB" w:rsidRPr="002D0682" w:rsidRDefault="00EE7DAB">
      <w:pPr>
        <w:pStyle w:val="FootnoteText"/>
        <w:rPr>
          <w:sz w:val="20"/>
          <w:szCs w:val="20"/>
        </w:rPr>
      </w:pPr>
    </w:p>
  </w:footnote>
  <w:footnote w:id="13">
    <w:p w14:paraId="3CBFD1B5" w14:textId="418BA73C" w:rsidR="000559D4" w:rsidRDefault="000559D4">
      <w:pPr>
        <w:pStyle w:val="FootnoteText"/>
        <w:rPr>
          <w:sz w:val="20"/>
          <w:szCs w:val="20"/>
        </w:rPr>
      </w:pPr>
      <w:r w:rsidRPr="000559D4">
        <w:rPr>
          <w:rStyle w:val="FootnoteReference"/>
          <w:sz w:val="20"/>
          <w:szCs w:val="20"/>
        </w:rPr>
        <w:footnoteRef/>
      </w:r>
      <w:r w:rsidRPr="000559D4">
        <w:rPr>
          <w:sz w:val="20"/>
          <w:szCs w:val="20"/>
        </w:rPr>
        <w:t xml:space="preserve"> </w:t>
      </w:r>
      <w:r w:rsidR="00BF0A14">
        <w:rPr>
          <w:sz w:val="20"/>
          <w:szCs w:val="20"/>
        </w:rPr>
        <w:t xml:space="preserve">Annual </w:t>
      </w:r>
      <w:r w:rsidR="00DB5422">
        <w:rPr>
          <w:sz w:val="20"/>
          <w:szCs w:val="20"/>
        </w:rPr>
        <w:t xml:space="preserve">one-page </w:t>
      </w:r>
      <w:r w:rsidR="00BF0A14">
        <w:rPr>
          <w:sz w:val="20"/>
          <w:szCs w:val="20"/>
        </w:rPr>
        <w:t xml:space="preserve">FEMS reports on presumptive disability claims are in LIMS. For FY22, see here: </w:t>
      </w:r>
      <w:hyperlink r:id="rId9" w:history="1">
        <w:r w:rsidR="00BF0A14" w:rsidRPr="00C03194">
          <w:rPr>
            <w:rStyle w:val="Hyperlink"/>
            <w:sz w:val="20"/>
            <w:szCs w:val="20"/>
          </w:rPr>
          <w:t>https://lims.dccouncil.gov/downloads/LIMS/52623/Introduction/RC25-0029-Introduction.pdf?Id=158511</w:t>
        </w:r>
      </w:hyperlink>
      <w:r w:rsidR="00BF0A14">
        <w:rPr>
          <w:sz w:val="20"/>
          <w:szCs w:val="20"/>
        </w:rPr>
        <w:t xml:space="preserve">. </w:t>
      </w:r>
    </w:p>
    <w:p w14:paraId="3C39EE22" w14:textId="77777777" w:rsidR="00BF0A14" w:rsidRPr="000559D4" w:rsidRDefault="00BF0A14">
      <w:pPr>
        <w:pStyle w:val="FootnoteText"/>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A2BA" w14:textId="6CF5907B" w:rsidR="00BA4D0B"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A11AA0">
      <w:rPr>
        <w:noProof/>
        <w:color w:val="000000"/>
      </w:rPr>
      <w:t>3</w:t>
    </w:r>
    <w:r>
      <w:rPr>
        <w:color w:val="000000"/>
      </w:rPr>
      <w:fldChar w:fldCharType="end"/>
    </w:r>
  </w:p>
  <w:p w14:paraId="1F4DA698" w14:textId="77777777" w:rsidR="00BA4D0B" w:rsidRDefault="00BA4D0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588F" w14:textId="77777777" w:rsidR="00BA4D0B" w:rsidRDefault="00BA4D0B">
    <w:pPr>
      <w:pBdr>
        <w:top w:val="nil"/>
        <w:left w:val="nil"/>
        <w:bottom w:val="nil"/>
        <w:right w:val="nil"/>
        <w:between w:val="nil"/>
      </w:pBdr>
      <w:tabs>
        <w:tab w:val="center" w:pos="4320"/>
        <w:tab w:val="right" w:pos="8640"/>
      </w:tabs>
      <w:ind w:left="72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770"/>
    <w:multiLevelType w:val="hybridMultilevel"/>
    <w:tmpl w:val="6380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F3A24"/>
    <w:multiLevelType w:val="multilevel"/>
    <w:tmpl w:val="7CF8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C24AA"/>
    <w:multiLevelType w:val="hybridMultilevel"/>
    <w:tmpl w:val="8238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30C25"/>
    <w:multiLevelType w:val="hybridMultilevel"/>
    <w:tmpl w:val="16EE1902"/>
    <w:lvl w:ilvl="0" w:tplc="AFBEC100">
      <w:start w:val="1"/>
      <w:numFmt w:val="upperLetter"/>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3A7846">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4AC38C">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00ABEC">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BC8B1E">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76CF54">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261564">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EAE878">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7E23D8">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DE415C"/>
    <w:multiLevelType w:val="hybridMultilevel"/>
    <w:tmpl w:val="6DC0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442B8"/>
    <w:multiLevelType w:val="hybridMultilevel"/>
    <w:tmpl w:val="7AA4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D0A50"/>
    <w:multiLevelType w:val="hybridMultilevel"/>
    <w:tmpl w:val="998E7F72"/>
    <w:lvl w:ilvl="0" w:tplc="A6F228E0">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C61168">
      <w:start w:val="2"/>
      <w:numFmt w:val="decimal"/>
      <w:lvlText w:val="(%2)"/>
      <w:lvlJc w:val="left"/>
      <w:pPr>
        <w:ind w:left="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803678">
      <w:start w:val="1"/>
      <w:numFmt w:val="upperLetter"/>
      <w:lvlText w:val="(%3)"/>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1A6B3C">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06E16C">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7A52F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14D95C">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7EE9C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7AEE2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F4C0B70"/>
    <w:multiLevelType w:val="multilevel"/>
    <w:tmpl w:val="64C2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F2030"/>
    <w:multiLevelType w:val="hybridMultilevel"/>
    <w:tmpl w:val="B750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A2386"/>
    <w:multiLevelType w:val="hybridMultilevel"/>
    <w:tmpl w:val="F94A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12284"/>
    <w:multiLevelType w:val="hybridMultilevel"/>
    <w:tmpl w:val="A6AE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A4B50"/>
    <w:multiLevelType w:val="hybridMultilevel"/>
    <w:tmpl w:val="3DD69F94"/>
    <w:lvl w:ilvl="0" w:tplc="3BA469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BC5D72"/>
    <w:multiLevelType w:val="multilevel"/>
    <w:tmpl w:val="3C9A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864E29"/>
    <w:multiLevelType w:val="hybridMultilevel"/>
    <w:tmpl w:val="9C42328E"/>
    <w:lvl w:ilvl="0" w:tplc="D6ECC7B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B71E79"/>
    <w:multiLevelType w:val="hybridMultilevel"/>
    <w:tmpl w:val="9F46E01C"/>
    <w:lvl w:ilvl="0" w:tplc="1452F7C6">
      <w:start w:val="4"/>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5AB7C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EEFA9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8617E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1A5F2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70894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E0DF8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E4639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5AB20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794447347">
    <w:abstractNumId w:val="1"/>
  </w:num>
  <w:num w:numId="2" w16cid:durableId="397943861">
    <w:abstractNumId w:val="7"/>
  </w:num>
  <w:num w:numId="3" w16cid:durableId="1248735321">
    <w:abstractNumId w:val="0"/>
  </w:num>
  <w:num w:numId="4" w16cid:durableId="528568198">
    <w:abstractNumId w:val="11"/>
  </w:num>
  <w:num w:numId="5" w16cid:durableId="729768043">
    <w:abstractNumId w:val="5"/>
  </w:num>
  <w:num w:numId="6" w16cid:durableId="105125286">
    <w:abstractNumId w:val="9"/>
  </w:num>
  <w:num w:numId="7" w16cid:durableId="1100182280">
    <w:abstractNumId w:val="10"/>
  </w:num>
  <w:num w:numId="8" w16cid:durableId="2018968223">
    <w:abstractNumId w:val="8"/>
  </w:num>
  <w:num w:numId="9" w16cid:durableId="504587420">
    <w:abstractNumId w:val="12"/>
  </w:num>
  <w:num w:numId="10" w16cid:durableId="706760044">
    <w:abstractNumId w:val="6"/>
  </w:num>
  <w:num w:numId="11" w16cid:durableId="1704329623">
    <w:abstractNumId w:val="3"/>
  </w:num>
  <w:num w:numId="12" w16cid:durableId="1385913761">
    <w:abstractNumId w:val="14"/>
  </w:num>
  <w:num w:numId="13" w16cid:durableId="666371355">
    <w:abstractNumId w:val="2"/>
  </w:num>
  <w:num w:numId="14" w16cid:durableId="647634030">
    <w:abstractNumId w:val="13"/>
  </w:num>
  <w:num w:numId="15" w16cid:durableId="17510748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D0B"/>
    <w:rsid w:val="00001361"/>
    <w:rsid w:val="000058BB"/>
    <w:rsid w:val="00026E30"/>
    <w:rsid w:val="0003231E"/>
    <w:rsid w:val="00032551"/>
    <w:rsid w:val="000362BA"/>
    <w:rsid w:val="00047BF5"/>
    <w:rsid w:val="00053E98"/>
    <w:rsid w:val="000559D4"/>
    <w:rsid w:val="00056CA2"/>
    <w:rsid w:val="000702D3"/>
    <w:rsid w:val="00072FC1"/>
    <w:rsid w:val="00086413"/>
    <w:rsid w:val="00096AE1"/>
    <w:rsid w:val="000A4DC5"/>
    <w:rsid w:val="000C3F3E"/>
    <w:rsid w:val="0011134D"/>
    <w:rsid w:val="00125823"/>
    <w:rsid w:val="0017782A"/>
    <w:rsid w:val="00183A76"/>
    <w:rsid w:val="001D3135"/>
    <w:rsid w:val="00204108"/>
    <w:rsid w:val="00231D0F"/>
    <w:rsid w:val="00296A74"/>
    <w:rsid w:val="002A6563"/>
    <w:rsid w:val="002A6736"/>
    <w:rsid w:val="002D0682"/>
    <w:rsid w:val="002E2D21"/>
    <w:rsid w:val="002E5E61"/>
    <w:rsid w:val="00310860"/>
    <w:rsid w:val="0031368F"/>
    <w:rsid w:val="00330931"/>
    <w:rsid w:val="003C262D"/>
    <w:rsid w:val="003D2D88"/>
    <w:rsid w:val="003D3B3A"/>
    <w:rsid w:val="003E639E"/>
    <w:rsid w:val="00401185"/>
    <w:rsid w:val="00410899"/>
    <w:rsid w:val="00421552"/>
    <w:rsid w:val="004715CC"/>
    <w:rsid w:val="0049073C"/>
    <w:rsid w:val="00490ABC"/>
    <w:rsid w:val="004B3824"/>
    <w:rsid w:val="004D0361"/>
    <w:rsid w:val="004D2F9C"/>
    <w:rsid w:val="00500D5A"/>
    <w:rsid w:val="0050591A"/>
    <w:rsid w:val="005134E6"/>
    <w:rsid w:val="005142E5"/>
    <w:rsid w:val="00521BA3"/>
    <w:rsid w:val="005269E4"/>
    <w:rsid w:val="005414EA"/>
    <w:rsid w:val="00552C61"/>
    <w:rsid w:val="00575B8A"/>
    <w:rsid w:val="00581D37"/>
    <w:rsid w:val="005A7B53"/>
    <w:rsid w:val="005B0E64"/>
    <w:rsid w:val="005C460A"/>
    <w:rsid w:val="005C6738"/>
    <w:rsid w:val="005D4B4A"/>
    <w:rsid w:val="00610233"/>
    <w:rsid w:val="006142A6"/>
    <w:rsid w:val="00617A6C"/>
    <w:rsid w:val="00651047"/>
    <w:rsid w:val="00665447"/>
    <w:rsid w:val="006674B3"/>
    <w:rsid w:val="006969EB"/>
    <w:rsid w:val="006A0028"/>
    <w:rsid w:val="006A1541"/>
    <w:rsid w:val="006A30F0"/>
    <w:rsid w:val="006D69DE"/>
    <w:rsid w:val="006F1296"/>
    <w:rsid w:val="006F29F9"/>
    <w:rsid w:val="006F36D3"/>
    <w:rsid w:val="00712446"/>
    <w:rsid w:val="0072162C"/>
    <w:rsid w:val="007231CD"/>
    <w:rsid w:val="00743A81"/>
    <w:rsid w:val="00756CC3"/>
    <w:rsid w:val="0078565B"/>
    <w:rsid w:val="00795698"/>
    <w:rsid w:val="007A20B2"/>
    <w:rsid w:val="007B1E38"/>
    <w:rsid w:val="007B31A1"/>
    <w:rsid w:val="007B353A"/>
    <w:rsid w:val="007B4E5F"/>
    <w:rsid w:val="007B6B01"/>
    <w:rsid w:val="007C6E37"/>
    <w:rsid w:val="007E418E"/>
    <w:rsid w:val="007F1403"/>
    <w:rsid w:val="008014E7"/>
    <w:rsid w:val="00831E4C"/>
    <w:rsid w:val="0084211A"/>
    <w:rsid w:val="00854332"/>
    <w:rsid w:val="00862FA2"/>
    <w:rsid w:val="00865087"/>
    <w:rsid w:val="00886B51"/>
    <w:rsid w:val="00894D44"/>
    <w:rsid w:val="008A66C6"/>
    <w:rsid w:val="008C6AC4"/>
    <w:rsid w:val="008C7998"/>
    <w:rsid w:val="009216C7"/>
    <w:rsid w:val="009253E8"/>
    <w:rsid w:val="00937CFB"/>
    <w:rsid w:val="00941148"/>
    <w:rsid w:val="00942B77"/>
    <w:rsid w:val="0096018B"/>
    <w:rsid w:val="00977C6F"/>
    <w:rsid w:val="009A58D2"/>
    <w:rsid w:val="009F2F9B"/>
    <w:rsid w:val="009F771C"/>
    <w:rsid w:val="00A0426F"/>
    <w:rsid w:val="00A067EF"/>
    <w:rsid w:val="00A11AA0"/>
    <w:rsid w:val="00A56465"/>
    <w:rsid w:val="00A97541"/>
    <w:rsid w:val="00AA5941"/>
    <w:rsid w:val="00AB665E"/>
    <w:rsid w:val="00AC1DA6"/>
    <w:rsid w:val="00AD5637"/>
    <w:rsid w:val="00AE2F8E"/>
    <w:rsid w:val="00AE73BD"/>
    <w:rsid w:val="00AF5151"/>
    <w:rsid w:val="00B14308"/>
    <w:rsid w:val="00B22C72"/>
    <w:rsid w:val="00B328C9"/>
    <w:rsid w:val="00B66DC6"/>
    <w:rsid w:val="00B90243"/>
    <w:rsid w:val="00B90EEF"/>
    <w:rsid w:val="00B920A0"/>
    <w:rsid w:val="00BA4D0B"/>
    <w:rsid w:val="00BD3640"/>
    <w:rsid w:val="00BE2940"/>
    <w:rsid w:val="00BF0A14"/>
    <w:rsid w:val="00C3146C"/>
    <w:rsid w:val="00C34C6D"/>
    <w:rsid w:val="00C86D95"/>
    <w:rsid w:val="00C96417"/>
    <w:rsid w:val="00CA27E2"/>
    <w:rsid w:val="00CB7B2E"/>
    <w:rsid w:val="00CC27A7"/>
    <w:rsid w:val="00CC33F3"/>
    <w:rsid w:val="00CC645C"/>
    <w:rsid w:val="00CC6AEE"/>
    <w:rsid w:val="00D13DC6"/>
    <w:rsid w:val="00D17F6D"/>
    <w:rsid w:val="00D2596B"/>
    <w:rsid w:val="00D32DBC"/>
    <w:rsid w:val="00D42CD2"/>
    <w:rsid w:val="00D5463E"/>
    <w:rsid w:val="00D560DB"/>
    <w:rsid w:val="00D6123D"/>
    <w:rsid w:val="00D72829"/>
    <w:rsid w:val="00D74267"/>
    <w:rsid w:val="00DB5422"/>
    <w:rsid w:val="00DE2C6E"/>
    <w:rsid w:val="00DE3860"/>
    <w:rsid w:val="00DE6703"/>
    <w:rsid w:val="00DF3868"/>
    <w:rsid w:val="00E33DB0"/>
    <w:rsid w:val="00E41755"/>
    <w:rsid w:val="00E50CC0"/>
    <w:rsid w:val="00E724F6"/>
    <w:rsid w:val="00E8221F"/>
    <w:rsid w:val="00EB40A0"/>
    <w:rsid w:val="00ED5C84"/>
    <w:rsid w:val="00EE7DAB"/>
    <w:rsid w:val="00EF0EA4"/>
    <w:rsid w:val="00F07933"/>
    <w:rsid w:val="00F24E73"/>
    <w:rsid w:val="00F33E53"/>
    <w:rsid w:val="00F37524"/>
    <w:rsid w:val="00F407F2"/>
    <w:rsid w:val="00F54254"/>
    <w:rsid w:val="00F67833"/>
    <w:rsid w:val="00F73792"/>
    <w:rsid w:val="00F73AFE"/>
    <w:rsid w:val="00F9156D"/>
    <w:rsid w:val="00F94BBA"/>
    <w:rsid w:val="00F966B9"/>
    <w:rsid w:val="00FA6346"/>
    <w:rsid w:val="00FC6C80"/>
    <w:rsid w:val="00FD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B41C"/>
  <w15:docId w15:val="{FF7DB0A6-B72D-C84E-8429-AED493CE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0FF"/>
    <w:pPr>
      <w:overflowPunct w:val="0"/>
      <w:autoSpaceDE w:val="0"/>
      <w:autoSpaceDN w:val="0"/>
      <w:adjustRightInd w:val="0"/>
      <w:textAlignment w:val="baseline"/>
    </w:pPr>
    <w:rPr>
      <w:lang w:bidi="he-IL"/>
    </w:rPr>
  </w:style>
  <w:style w:type="paragraph" w:styleId="Heading1">
    <w:name w:val="heading 1"/>
    <w:basedOn w:val="Normal"/>
    <w:next w:val="Body"/>
    <w:link w:val="Heading1Char"/>
    <w:uiPriority w:val="9"/>
    <w:qFormat/>
    <w:rsid w:val="00A050FF"/>
    <w:pPr>
      <w:keepNext/>
      <w:pageBreakBefore/>
      <w:spacing w:before="240"/>
      <w:ind w:left="720" w:right="720"/>
      <w:jc w:val="center"/>
      <w:outlineLvl w:val="0"/>
    </w:pPr>
    <w:rPr>
      <w:b/>
      <w:caps/>
      <w:sz w:val="28"/>
      <w:u w:val="single"/>
    </w:rPr>
  </w:style>
  <w:style w:type="paragraph" w:styleId="Heading2">
    <w:name w:val="heading 2"/>
    <w:basedOn w:val="Normal"/>
    <w:next w:val="Body"/>
    <w:link w:val="Heading2Char"/>
    <w:uiPriority w:val="9"/>
    <w:unhideWhenUsed/>
    <w:qFormat/>
    <w:rsid w:val="00A050FF"/>
    <w:pPr>
      <w:keepNext/>
      <w:spacing w:before="240"/>
      <w:ind w:left="1008" w:right="720" w:hanging="288"/>
      <w:outlineLvl w:val="1"/>
    </w:pPr>
    <w:rPr>
      <w:b/>
      <w:smallCaps/>
    </w:rPr>
  </w:style>
  <w:style w:type="paragraph" w:styleId="Heading3">
    <w:name w:val="heading 3"/>
    <w:basedOn w:val="Normal"/>
    <w:next w:val="Body"/>
    <w:link w:val="Heading3Char"/>
    <w:uiPriority w:val="9"/>
    <w:semiHidden/>
    <w:unhideWhenUsed/>
    <w:qFormat/>
    <w:rsid w:val="00A050FF"/>
    <w:pPr>
      <w:keepNext/>
      <w:spacing w:before="240"/>
      <w:ind w:left="2088" w:right="1800" w:hanging="288"/>
      <w:jc w:val="center"/>
      <w:outlineLvl w:val="2"/>
    </w:pPr>
    <w:rPr>
      <w:b/>
      <w:i/>
    </w:rPr>
  </w:style>
  <w:style w:type="paragraph" w:styleId="Heading4">
    <w:name w:val="heading 4"/>
    <w:basedOn w:val="Normal"/>
    <w:next w:val="Body"/>
    <w:link w:val="Heading4Char"/>
    <w:uiPriority w:val="9"/>
    <w:semiHidden/>
    <w:unhideWhenUsed/>
    <w:qFormat/>
    <w:rsid w:val="00A050FF"/>
    <w:pPr>
      <w:keepNext/>
      <w:spacing w:before="2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
    <w:name w:val="Body"/>
    <w:basedOn w:val="Normal"/>
    <w:link w:val="BodyChar"/>
    <w:autoRedefine/>
    <w:rsid w:val="00A050FF"/>
    <w:pPr>
      <w:spacing w:line="480" w:lineRule="atLeast"/>
      <w:ind w:firstLine="720"/>
    </w:pPr>
    <w:rPr>
      <w:sz w:val="28"/>
    </w:rPr>
  </w:style>
  <w:style w:type="paragraph" w:customStyle="1" w:styleId="ColorfulList-Accent11">
    <w:name w:val="Colorful List - Accent 11"/>
    <w:basedOn w:val="Normal"/>
    <w:uiPriority w:val="34"/>
    <w:qFormat/>
    <w:rsid w:val="00F15389"/>
    <w:pPr>
      <w:ind w:left="720"/>
      <w:contextualSpacing/>
    </w:pPr>
  </w:style>
  <w:style w:type="paragraph" w:styleId="FootnoteText">
    <w:name w:val="footnote text"/>
    <w:basedOn w:val="Normal"/>
    <w:link w:val="FootnoteTextChar"/>
    <w:autoRedefine/>
    <w:uiPriority w:val="99"/>
    <w:rsid w:val="006969EB"/>
  </w:style>
  <w:style w:type="character" w:customStyle="1" w:styleId="FootnoteTextChar">
    <w:name w:val="Footnote Text Char"/>
    <w:basedOn w:val="DefaultParagraphFont"/>
    <w:link w:val="FootnoteText"/>
    <w:uiPriority w:val="99"/>
    <w:rsid w:val="006969EB"/>
    <w:rPr>
      <w:lang w:bidi="he-IL"/>
    </w:rPr>
  </w:style>
  <w:style w:type="character" w:styleId="FootnoteReference">
    <w:name w:val="footnote reference"/>
    <w:uiPriority w:val="99"/>
    <w:unhideWhenUsed/>
    <w:rsid w:val="00D75D05"/>
    <w:rPr>
      <w:vertAlign w:val="superscript"/>
    </w:rPr>
  </w:style>
  <w:style w:type="paragraph" w:styleId="BalloonText">
    <w:name w:val="Balloon Text"/>
    <w:basedOn w:val="Normal"/>
    <w:link w:val="BalloonTextChar"/>
    <w:uiPriority w:val="99"/>
    <w:semiHidden/>
    <w:unhideWhenUsed/>
    <w:rsid w:val="00EC71D2"/>
    <w:rPr>
      <w:sz w:val="18"/>
      <w:szCs w:val="18"/>
    </w:rPr>
  </w:style>
  <w:style w:type="character" w:customStyle="1" w:styleId="BalloonTextChar">
    <w:name w:val="Balloon Text Char"/>
    <w:link w:val="BalloonText"/>
    <w:uiPriority w:val="99"/>
    <w:semiHidden/>
    <w:rsid w:val="00EC71D2"/>
    <w:rPr>
      <w:rFonts w:ascii="Times New Roman" w:hAnsi="Times New Roman" w:cs="Times New Roman"/>
      <w:sz w:val="18"/>
      <w:szCs w:val="18"/>
    </w:rPr>
  </w:style>
  <w:style w:type="character" w:customStyle="1" w:styleId="ssbf">
    <w:name w:val="ss_bf"/>
    <w:basedOn w:val="DefaultParagraphFont"/>
    <w:rsid w:val="00C63EB0"/>
  </w:style>
  <w:style w:type="character" w:styleId="CommentReference">
    <w:name w:val="annotation reference"/>
    <w:uiPriority w:val="99"/>
    <w:semiHidden/>
    <w:unhideWhenUsed/>
    <w:rsid w:val="00C92297"/>
    <w:rPr>
      <w:sz w:val="16"/>
      <w:szCs w:val="16"/>
    </w:rPr>
  </w:style>
  <w:style w:type="paragraph" w:styleId="CommentText">
    <w:name w:val="annotation text"/>
    <w:basedOn w:val="Normal"/>
    <w:link w:val="CommentTextChar"/>
    <w:uiPriority w:val="99"/>
    <w:semiHidden/>
    <w:unhideWhenUsed/>
    <w:rsid w:val="00C92297"/>
    <w:rPr>
      <w:sz w:val="20"/>
    </w:rPr>
  </w:style>
  <w:style w:type="character" w:customStyle="1" w:styleId="CommentTextChar">
    <w:name w:val="Comment Text Char"/>
    <w:link w:val="CommentText"/>
    <w:uiPriority w:val="99"/>
    <w:semiHidden/>
    <w:rsid w:val="00C92297"/>
    <w:rPr>
      <w:sz w:val="20"/>
      <w:szCs w:val="20"/>
    </w:rPr>
  </w:style>
  <w:style w:type="paragraph" w:styleId="CommentSubject">
    <w:name w:val="annotation subject"/>
    <w:basedOn w:val="CommentText"/>
    <w:next w:val="CommentText"/>
    <w:link w:val="CommentSubjectChar"/>
    <w:uiPriority w:val="99"/>
    <w:semiHidden/>
    <w:unhideWhenUsed/>
    <w:rsid w:val="00C92297"/>
    <w:rPr>
      <w:b/>
      <w:bCs/>
    </w:rPr>
  </w:style>
  <w:style w:type="character" w:customStyle="1" w:styleId="CommentSubjectChar">
    <w:name w:val="Comment Subject Char"/>
    <w:link w:val="CommentSubject"/>
    <w:uiPriority w:val="99"/>
    <w:semiHidden/>
    <w:rsid w:val="00C92297"/>
    <w:rPr>
      <w:b/>
      <w:bCs/>
      <w:sz w:val="20"/>
      <w:szCs w:val="20"/>
    </w:rPr>
  </w:style>
  <w:style w:type="paragraph" w:styleId="Header">
    <w:name w:val="header"/>
    <w:basedOn w:val="Normal"/>
    <w:link w:val="HeaderChar"/>
    <w:rsid w:val="00A050FF"/>
    <w:pPr>
      <w:tabs>
        <w:tab w:val="center" w:pos="4320"/>
        <w:tab w:val="right" w:pos="8640"/>
      </w:tabs>
      <w:spacing w:line="360" w:lineRule="atLeast"/>
    </w:pPr>
  </w:style>
  <w:style w:type="character" w:customStyle="1" w:styleId="HeaderChar">
    <w:name w:val="Header Char"/>
    <w:basedOn w:val="DefaultParagraphFont"/>
    <w:link w:val="Header"/>
    <w:rsid w:val="00A050FF"/>
    <w:rPr>
      <w:rFonts w:ascii="Times New Roman" w:eastAsia="Times New Roman" w:hAnsi="Times New Roman"/>
      <w:sz w:val="24"/>
      <w:lang w:bidi="he-IL"/>
    </w:rPr>
  </w:style>
  <w:style w:type="paragraph" w:styleId="Footer">
    <w:name w:val="footer"/>
    <w:basedOn w:val="Normal"/>
    <w:link w:val="FooterChar"/>
    <w:rsid w:val="00A050FF"/>
    <w:pPr>
      <w:tabs>
        <w:tab w:val="center" w:pos="4320"/>
        <w:tab w:val="right" w:pos="8640"/>
      </w:tabs>
    </w:pPr>
  </w:style>
  <w:style w:type="character" w:customStyle="1" w:styleId="FooterChar">
    <w:name w:val="Footer Char"/>
    <w:basedOn w:val="DefaultParagraphFont"/>
    <w:link w:val="Footer"/>
    <w:rsid w:val="00A050FF"/>
    <w:rPr>
      <w:rFonts w:ascii="Times New Roman" w:eastAsia="Times New Roman" w:hAnsi="Times New Roman"/>
      <w:sz w:val="24"/>
      <w:lang w:bidi="he-IL"/>
    </w:rPr>
  </w:style>
  <w:style w:type="character" w:styleId="PageNumber">
    <w:name w:val="page number"/>
    <w:basedOn w:val="DefaultParagraphFont"/>
    <w:rsid w:val="00A050FF"/>
  </w:style>
  <w:style w:type="paragraph" w:styleId="NormalIndent">
    <w:name w:val="Normal Indent"/>
    <w:basedOn w:val="Normal"/>
    <w:next w:val="body2"/>
    <w:rsid w:val="00A050FF"/>
    <w:pPr>
      <w:spacing w:before="240"/>
      <w:ind w:left="720"/>
    </w:pPr>
  </w:style>
  <w:style w:type="character" w:customStyle="1" w:styleId="apple-converted-space">
    <w:name w:val="apple-converted-space"/>
    <w:rsid w:val="00E56AED"/>
  </w:style>
  <w:style w:type="character" w:styleId="Hyperlink">
    <w:name w:val="Hyperlink"/>
    <w:uiPriority w:val="99"/>
    <w:unhideWhenUsed/>
    <w:rsid w:val="00E56AED"/>
    <w:rPr>
      <w:color w:val="0000FF"/>
      <w:u w:val="single"/>
    </w:rPr>
  </w:style>
  <w:style w:type="paragraph" w:customStyle="1" w:styleId="FootnoteText2">
    <w:name w:val="Footnote Text 2"/>
    <w:basedOn w:val="Normal"/>
    <w:qFormat/>
    <w:rsid w:val="00F56729"/>
    <w:pPr>
      <w:ind w:firstLine="720"/>
    </w:pPr>
  </w:style>
  <w:style w:type="character" w:customStyle="1" w:styleId="Heading1Char">
    <w:name w:val="Heading 1 Char"/>
    <w:basedOn w:val="DefaultParagraphFont"/>
    <w:link w:val="Heading1"/>
    <w:rsid w:val="00A050FF"/>
    <w:rPr>
      <w:rFonts w:ascii="Times New Roman" w:eastAsia="Times New Roman" w:hAnsi="Times New Roman"/>
      <w:b/>
      <w:caps/>
      <w:sz w:val="28"/>
      <w:u w:val="single"/>
      <w:lang w:bidi="he-IL"/>
    </w:rPr>
  </w:style>
  <w:style w:type="character" w:customStyle="1" w:styleId="Heading2Char">
    <w:name w:val="Heading 2 Char"/>
    <w:basedOn w:val="DefaultParagraphFont"/>
    <w:link w:val="Heading2"/>
    <w:rsid w:val="00A050FF"/>
    <w:rPr>
      <w:rFonts w:ascii="Times New Roman" w:eastAsia="Times New Roman" w:hAnsi="Times New Roman"/>
      <w:b/>
      <w:smallCaps/>
      <w:sz w:val="24"/>
      <w:lang w:bidi="he-IL"/>
    </w:rPr>
  </w:style>
  <w:style w:type="paragraph" w:customStyle="1" w:styleId="Default">
    <w:name w:val="Default"/>
    <w:rsid w:val="006B2199"/>
    <w:pPr>
      <w:autoSpaceDE w:val="0"/>
      <w:autoSpaceDN w:val="0"/>
      <w:adjustRightInd w:val="0"/>
    </w:pPr>
    <w:rPr>
      <w:color w:val="000000"/>
    </w:rPr>
  </w:style>
  <w:style w:type="character" w:customStyle="1" w:styleId="Heading3Char">
    <w:name w:val="Heading 3 Char"/>
    <w:basedOn w:val="DefaultParagraphFont"/>
    <w:link w:val="Heading3"/>
    <w:rsid w:val="00A050FF"/>
    <w:rPr>
      <w:rFonts w:ascii="Times New Roman" w:eastAsia="Times New Roman" w:hAnsi="Times New Roman"/>
      <w:b/>
      <w:i/>
      <w:sz w:val="24"/>
      <w:lang w:bidi="he-IL"/>
    </w:rPr>
  </w:style>
  <w:style w:type="character" w:customStyle="1" w:styleId="Heading4Char">
    <w:name w:val="Heading 4 Char"/>
    <w:basedOn w:val="DefaultParagraphFont"/>
    <w:link w:val="Heading4"/>
    <w:rsid w:val="00A050FF"/>
    <w:rPr>
      <w:rFonts w:ascii="Times New Roman" w:eastAsia="Times New Roman" w:hAnsi="Times New Roman"/>
      <w:b/>
      <w:sz w:val="24"/>
      <w:lang w:bidi="he-IL"/>
    </w:rPr>
  </w:style>
  <w:style w:type="character" w:customStyle="1" w:styleId="BodyChar">
    <w:name w:val="Body Char"/>
    <w:basedOn w:val="DefaultParagraphFont"/>
    <w:link w:val="Body"/>
    <w:locked/>
    <w:rsid w:val="00A050FF"/>
    <w:rPr>
      <w:rFonts w:ascii="Times New Roman" w:eastAsia="Times New Roman" w:hAnsi="Times New Roman"/>
      <w:sz w:val="28"/>
      <w:lang w:bidi="he-IL"/>
    </w:rPr>
  </w:style>
  <w:style w:type="paragraph" w:customStyle="1" w:styleId="body2">
    <w:name w:val="body2"/>
    <w:basedOn w:val="Body"/>
    <w:next w:val="Body"/>
    <w:rsid w:val="00A050FF"/>
    <w:pPr>
      <w:ind w:firstLine="0"/>
    </w:pPr>
  </w:style>
  <w:style w:type="paragraph" w:customStyle="1" w:styleId="Citation">
    <w:name w:val="Citation"/>
    <w:basedOn w:val="Body"/>
    <w:rsid w:val="00A050FF"/>
    <w:pPr>
      <w:spacing w:before="240" w:line="240" w:lineRule="atLeast"/>
      <w:ind w:left="720" w:right="720" w:firstLine="0"/>
    </w:pPr>
  </w:style>
  <w:style w:type="paragraph" w:customStyle="1" w:styleId="footnoteindent">
    <w:name w:val="footnote indent"/>
    <w:basedOn w:val="FootnoteText"/>
    <w:rsid w:val="00A050FF"/>
    <w:pPr>
      <w:tabs>
        <w:tab w:val="left" w:pos="720"/>
        <w:tab w:val="left" w:pos="1890"/>
      </w:tabs>
      <w:spacing w:before="60" w:line="240" w:lineRule="atLeast"/>
      <w:ind w:left="360"/>
    </w:pPr>
  </w:style>
  <w:style w:type="paragraph" w:customStyle="1" w:styleId="Indented">
    <w:name w:val="Indented"/>
    <w:basedOn w:val="Normal"/>
    <w:next w:val="Body"/>
    <w:rsid w:val="00A050FF"/>
    <w:pPr>
      <w:tabs>
        <w:tab w:val="left" w:pos="720"/>
      </w:tabs>
      <w:spacing w:before="240" w:line="240" w:lineRule="atLeast"/>
      <w:ind w:left="720" w:right="720"/>
    </w:pPr>
  </w:style>
  <w:style w:type="paragraph" w:styleId="Index1">
    <w:name w:val="index 1"/>
    <w:basedOn w:val="Normal"/>
    <w:next w:val="Normal"/>
    <w:semiHidden/>
    <w:rsid w:val="00A050FF"/>
    <w:pPr>
      <w:spacing w:before="240"/>
      <w:jc w:val="center"/>
    </w:pPr>
  </w:style>
  <w:style w:type="paragraph" w:styleId="Index2">
    <w:name w:val="index 2"/>
    <w:basedOn w:val="Normal"/>
    <w:next w:val="Normal"/>
    <w:semiHidden/>
    <w:rsid w:val="00A050FF"/>
    <w:pPr>
      <w:tabs>
        <w:tab w:val="right" w:leader="dot" w:pos="8640"/>
      </w:tabs>
    </w:pPr>
  </w:style>
  <w:style w:type="paragraph" w:styleId="Signature">
    <w:name w:val="Signature"/>
    <w:basedOn w:val="Normal"/>
    <w:link w:val="SignatureChar"/>
    <w:rsid w:val="00A050FF"/>
    <w:pPr>
      <w:tabs>
        <w:tab w:val="left" w:pos="5040"/>
      </w:tabs>
    </w:pPr>
  </w:style>
  <w:style w:type="character" w:customStyle="1" w:styleId="SignatureChar">
    <w:name w:val="Signature Char"/>
    <w:basedOn w:val="DefaultParagraphFont"/>
    <w:link w:val="Signature"/>
    <w:rsid w:val="00A050FF"/>
    <w:rPr>
      <w:rFonts w:ascii="Times New Roman" w:eastAsia="Times New Roman" w:hAnsi="Times New Roman"/>
      <w:sz w:val="24"/>
      <w:lang w:bidi="he-IL"/>
    </w:rPr>
  </w:style>
  <w:style w:type="paragraph" w:customStyle="1" w:styleId="Table">
    <w:name w:val="Table"/>
    <w:basedOn w:val="Normal"/>
    <w:rsid w:val="00A050FF"/>
    <w:pPr>
      <w:tabs>
        <w:tab w:val="left" w:pos="1440"/>
      </w:tabs>
      <w:spacing w:line="360" w:lineRule="atLeast"/>
    </w:pPr>
    <w:rPr>
      <w:b/>
    </w:rPr>
  </w:style>
  <w:style w:type="paragraph" w:styleId="TableofAuthorities">
    <w:name w:val="table of authorities"/>
    <w:basedOn w:val="Normal"/>
    <w:next w:val="Normal"/>
    <w:autoRedefine/>
    <w:semiHidden/>
    <w:rsid w:val="00A050FF"/>
    <w:pPr>
      <w:tabs>
        <w:tab w:val="right" w:leader="hyphen" w:pos="9432"/>
      </w:tabs>
      <w:spacing w:before="60" w:after="60"/>
      <w:ind w:left="288" w:right="1008" w:hanging="288"/>
    </w:pPr>
  </w:style>
  <w:style w:type="paragraph" w:customStyle="1" w:styleId="Table2">
    <w:name w:val="Table2"/>
    <w:basedOn w:val="Normal"/>
    <w:rsid w:val="00A050FF"/>
    <w:pPr>
      <w:spacing w:before="120" w:line="240" w:lineRule="atLeast"/>
      <w:ind w:left="540"/>
    </w:pPr>
  </w:style>
  <w:style w:type="paragraph" w:styleId="TOAHeading">
    <w:name w:val="toa heading"/>
    <w:basedOn w:val="Normal"/>
    <w:next w:val="Normal"/>
    <w:semiHidden/>
    <w:rsid w:val="00A050FF"/>
    <w:pPr>
      <w:keepNext/>
      <w:spacing w:before="240" w:after="120"/>
      <w:jc w:val="center"/>
    </w:pPr>
    <w:rPr>
      <w:b/>
      <w:caps/>
    </w:rPr>
  </w:style>
  <w:style w:type="paragraph" w:styleId="TOC1">
    <w:name w:val="toc 1"/>
    <w:basedOn w:val="Normal"/>
    <w:next w:val="Normal"/>
    <w:qFormat/>
    <w:rsid w:val="00A050FF"/>
    <w:pPr>
      <w:tabs>
        <w:tab w:val="right" w:leader="dot" w:pos="9432"/>
      </w:tabs>
      <w:spacing w:before="120" w:after="120"/>
    </w:pPr>
    <w:rPr>
      <w:b/>
      <w:caps/>
    </w:rPr>
  </w:style>
  <w:style w:type="paragraph" w:styleId="TOC2">
    <w:name w:val="toc 2"/>
    <w:basedOn w:val="Normal"/>
    <w:next w:val="Normal"/>
    <w:qFormat/>
    <w:rsid w:val="00A050FF"/>
    <w:pPr>
      <w:tabs>
        <w:tab w:val="right" w:leader="dot" w:pos="9432"/>
      </w:tabs>
      <w:spacing w:before="60" w:after="60"/>
      <w:ind w:left="360" w:right="720"/>
    </w:pPr>
    <w:rPr>
      <w:b/>
      <w:smallCaps/>
    </w:rPr>
  </w:style>
  <w:style w:type="paragraph" w:styleId="TOC3">
    <w:name w:val="toc 3"/>
    <w:basedOn w:val="Normal"/>
    <w:next w:val="Normal"/>
    <w:qFormat/>
    <w:rsid w:val="00A050FF"/>
    <w:pPr>
      <w:tabs>
        <w:tab w:val="right" w:leader="dot" w:pos="9432"/>
      </w:tabs>
      <w:ind w:left="720" w:right="720"/>
    </w:pPr>
    <w:rPr>
      <w:b/>
    </w:rPr>
  </w:style>
  <w:style w:type="paragraph" w:styleId="TOC4">
    <w:name w:val="toc 4"/>
    <w:basedOn w:val="Normal"/>
    <w:next w:val="Normal"/>
    <w:qFormat/>
    <w:rsid w:val="00A050FF"/>
    <w:pPr>
      <w:tabs>
        <w:tab w:val="right" w:leader="dot" w:pos="9432"/>
      </w:tabs>
      <w:ind w:left="1080" w:right="720"/>
    </w:pPr>
    <w:rPr>
      <w:b/>
    </w:rPr>
  </w:style>
  <w:style w:type="character" w:styleId="UnresolvedMention">
    <w:name w:val="Unresolved Mention"/>
    <w:basedOn w:val="DefaultParagraphFont"/>
    <w:uiPriority w:val="99"/>
    <w:semiHidden/>
    <w:unhideWhenUsed/>
    <w:rsid w:val="00EF0362"/>
    <w:rPr>
      <w:color w:val="605E5C"/>
      <w:shd w:val="clear" w:color="auto" w:fill="E1DFDD"/>
    </w:rPr>
  </w:style>
  <w:style w:type="paragraph" w:styleId="NormalWeb">
    <w:name w:val="Normal (Web)"/>
    <w:basedOn w:val="Normal"/>
    <w:uiPriority w:val="99"/>
    <w:semiHidden/>
    <w:unhideWhenUsed/>
    <w:rsid w:val="00B4501B"/>
    <w:pPr>
      <w:overflowPunct/>
      <w:autoSpaceDE/>
      <w:autoSpaceDN/>
      <w:adjustRightInd/>
      <w:spacing w:before="100" w:beforeAutospacing="1" w:after="100" w:afterAutospacing="1"/>
      <w:textAlignment w:val="auto"/>
    </w:pPr>
    <w:rPr>
      <w:lang w:bidi="ar-SA"/>
    </w:rPr>
  </w:style>
  <w:style w:type="character" w:styleId="Strong">
    <w:name w:val="Strong"/>
    <w:basedOn w:val="DefaultParagraphFont"/>
    <w:uiPriority w:val="22"/>
    <w:qFormat/>
    <w:rsid w:val="00B4501B"/>
    <w:rPr>
      <w:b/>
      <w:bCs/>
    </w:rPr>
  </w:style>
  <w:style w:type="character" w:styleId="FollowedHyperlink">
    <w:name w:val="FollowedHyperlink"/>
    <w:basedOn w:val="DefaultParagraphFont"/>
    <w:uiPriority w:val="99"/>
    <w:semiHidden/>
    <w:unhideWhenUsed/>
    <w:rsid w:val="00D61995"/>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dnoteText">
    <w:name w:val="endnote text"/>
    <w:basedOn w:val="Normal"/>
    <w:link w:val="EndnoteTextChar"/>
    <w:uiPriority w:val="99"/>
    <w:unhideWhenUsed/>
    <w:rsid w:val="00743A81"/>
    <w:pPr>
      <w:overflowPunct/>
      <w:autoSpaceDE/>
      <w:autoSpaceDN/>
      <w:adjustRightInd/>
      <w:textAlignment w:val="auto"/>
    </w:pPr>
    <w:rPr>
      <w:rFonts w:asciiTheme="minorHAnsi" w:eastAsiaTheme="minorHAnsi" w:hAnsiTheme="minorHAnsi" w:cstheme="minorBidi"/>
      <w:sz w:val="20"/>
      <w:szCs w:val="20"/>
      <w:lang w:bidi="ar-SA"/>
    </w:rPr>
  </w:style>
  <w:style w:type="character" w:customStyle="1" w:styleId="EndnoteTextChar">
    <w:name w:val="Endnote Text Char"/>
    <w:basedOn w:val="DefaultParagraphFont"/>
    <w:link w:val="EndnoteText"/>
    <w:uiPriority w:val="99"/>
    <w:rsid w:val="00743A81"/>
    <w:rPr>
      <w:rFonts w:asciiTheme="minorHAnsi" w:eastAsiaTheme="minorHAnsi" w:hAnsiTheme="minorHAnsi" w:cstheme="minorBidi"/>
      <w:sz w:val="20"/>
      <w:szCs w:val="20"/>
    </w:rPr>
  </w:style>
  <w:style w:type="character" w:styleId="EndnoteReference">
    <w:name w:val="endnote reference"/>
    <w:basedOn w:val="DefaultParagraphFont"/>
    <w:uiPriority w:val="99"/>
    <w:semiHidden/>
    <w:unhideWhenUsed/>
    <w:rsid w:val="00743A81"/>
    <w:rPr>
      <w:vertAlign w:val="superscript"/>
    </w:rPr>
  </w:style>
  <w:style w:type="character" w:customStyle="1" w:styleId="markedcontent">
    <w:name w:val="markedcontent"/>
    <w:basedOn w:val="DefaultParagraphFont"/>
    <w:rsid w:val="00552C61"/>
  </w:style>
  <w:style w:type="paragraph" w:styleId="ListParagraph">
    <w:name w:val="List Paragraph"/>
    <w:basedOn w:val="Normal"/>
    <w:uiPriority w:val="34"/>
    <w:qFormat/>
    <w:rsid w:val="00056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977">
      <w:bodyDiv w:val="1"/>
      <w:marLeft w:val="0"/>
      <w:marRight w:val="0"/>
      <w:marTop w:val="0"/>
      <w:marBottom w:val="0"/>
      <w:divBdr>
        <w:top w:val="none" w:sz="0" w:space="0" w:color="auto"/>
        <w:left w:val="none" w:sz="0" w:space="0" w:color="auto"/>
        <w:bottom w:val="none" w:sz="0" w:space="0" w:color="auto"/>
        <w:right w:val="none" w:sz="0" w:space="0" w:color="auto"/>
      </w:divBdr>
      <w:divsChild>
        <w:div w:id="255097304">
          <w:marLeft w:val="0"/>
          <w:marRight w:val="0"/>
          <w:marTop w:val="0"/>
          <w:marBottom w:val="0"/>
          <w:divBdr>
            <w:top w:val="none" w:sz="0" w:space="0" w:color="auto"/>
            <w:left w:val="none" w:sz="0" w:space="0" w:color="auto"/>
            <w:bottom w:val="none" w:sz="0" w:space="0" w:color="auto"/>
            <w:right w:val="none" w:sz="0" w:space="0" w:color="auto"/>
          </w:divBdr>
          <w:divsChild>
            <w:div w:id="309865572">
              <w:marLeft w:val="0"/>
              <w:marRight w:val="0"/>
              <w:marTop w:val="0"/>
              <w:marBottom w:val="0"/>
              <w:divBdr>
                <w:top w:val="none" w:sz="0" w:space="0" w:color="auto"/>
                <w:left w:val="none" w:sz="0" w:space="0" w:color="auto"/>
                <w:bottom w:val="none" w:sz="0" w:space="0" w:color="auto"/>
                <w:right w:val="none" w:sz="0" w:space="0" w:color="auto"/>
              </w:divBdr>
              <w:divsChild>
                <w:div w:id="4322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0733">
      <w:bodyDiv w:val="1"/>
      <w:marLeft w:val="0"/>
      <w:marRight w:val="0"/>
      <w:marTop w:val="0"/>
      <w:marBottom w:val="0"/>
      <w:divBdr>
        <w:top w:val="none" w:sz="0" w:space="0" w:color="auto"/>
        <w:left w:val="none" w:sz="0" w:space="0" w:color="auto"/>
        <w:bottom w:val="none" w:sz="0" w:space="0" w:color="auto"/>
        <w:right w:val="none" w:sz="0" w:space="0" w:color="auto"/>
      </w:divBdr>
    </w:div>
    <w:div w:id="892616173">
      <w:bodyDiv w:val="1"/>
      <w:marLeft w:val="0"/>
      <w:marRight w:val="0"/>
      <w:marTop w:val="0"/>
      <w:marBottom w:val="0"/>
      <w:divBdr>
        <w:top w:val="none" w:sz="0" w:space="0" w:color="auto"/>
        <w:left w:val="none" w:sz="0" w:space="0" w:color="auto"/>
        <w:bottom w:val="none" w:sz="0" w:space="0" w:color="auto"/>
        <w:right w:val="none" w:sz="0" w:space="0" w:color="auto"/>
      </w:divBdr>
    </w:div>
    <w:div w:id="1143621868">
      <w:bodyDiv w:val="1"/>
      <w:marLeft w:val="0"/>
      <w:marRight w:val="0"/>
      <w:marTop w:val="0"/>
      <w:marBottom w:val="0"/>
      <w:divBdr>
        <w:top w:val="none" w:sz="0" w:space="0" w:color="auto"/>
        <w:left w:val="none" w:sz="0" w:space="0" w:color="auto"/>
        <w:bottom w:val="none" w:sz="0" w:space="0" w:color="auto"/>
        <w:right w:val="none" w:sz="0" w:space="0" w:color="auto"/>
      </w:divBdr>
    </w:div>
    <w:div w:id="1186365055">
      <w:bodyDiv w:val="1"/>
      <w:marLeft w:val="0"/>
      <w:marRight w:val="0"/>
      <w:marTop w:val="0"/>
      <w:marBottom w:val="0"/>
      <w:divBdr>
        <w:top w:val="none" w:sz="0" w:space="0" w:color="auto"/>
        <w:left w:val="none" w:sz="0" w:space="0" w:color="auto"/>
        <w:bottom w:val="none" w:sz="0" w:space="0" w:color="auto"/>
        <w:right w:val="none" w:sz="0" w:space="0" w:color="auto"/>
      </w:divBdr>
      <w:divsChild>
        <w:div w:id="1628464477">
          <w:marLeft w:val="0"/>
          <w:marRight w:val="0"/>
          <w:marTop w:val="0"/>
          <w:marBottom w:val="0"/>
          <w:divBdr>
            <w:top w:val="none" w:sz="0" w:space="0" w:color="auto"/>
            <w:left w:val="none" w:sz="0" w:space="0" w:color="auto"/>
            <w:bottom w:val="none" w:sz="0" w:space="0" w:color="auto"/>
            <w:right w:val="none" w:sz="0" w:space="0" w:color="auto"/>
          </w:divBdr>
          <w:divsChild>
            <w:div w:id="2091660648">
              <w:marLeft w:val="0"/>
              <w:marRight w:val="0"/>
              <w:marTop w:val="0"/>
              <w:marBottom w:val="0"/>
              <w:divBdr>
                <w:top w:val="none" w:sz="0" w:space="0" w:color="auto"/>
                <w:left w:val="none" w:sz="0" w:space="0" w:color="auto"/>
                <w:bottom w:val="none" w:sz="0" w:space="0" w:color="auto"/>
                <w:right w:val="none" w:sz="0" w:space="0" w:color="auto"/>
              </w:divBdr>
              <w:divsChild>
                <w:div w:id="7827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app.cfo.dc.gov/services/fiscal_impact/pdf/spring09/FIS%20-%20FEMS%20Employee%20Presumptive%20Disability%20Amendment%20Act.pdf" TargetMode="External"/><Relationship Id="rId3" Type="http://schemas.openxmlformats.org/officeDocument/2006/relationships/hyperlink" Target="https://dc.granicus.com/MediaPlayer.php?view_id=41&amp;clip_id=8696" TargetMode="External"/><Relationship Id="rId7" Type="http://schemas.openxmlformats.org/officeDocument/2006/relationships/hyperlink" Target="https://dccouncil.gov/wp-content/uploads/2018/11/Committee-on-the-Judiciary-Public-Safety-FY19-Budget-Report.pdf" TargetMode="External"/><Relationship Id="rId2" Type="http://schemas.openxmlformats.org/officeDocument/2006/relationships/hyperlink" Target="https://crsreports.congress.gov/product/pdf/R/R46233" TargetMode="External"/><Relationship Id="rId1" Type="http://schemas.openxmlformats.org/officeDocument/2006/relationships/hyperlink" Target="http://app.cfo.dc.gov/services/fiscal_impact/pdf/spring09/New%20Folder/FIS%20Comprehensive%20Policing%20and%20Justice%20Reform.pdf" TargetMode="External"/><Relationship Id="rId6" Type="http://schemas.openxmlformats.org/officeDocument/2006/relationships/hyperlink" Target="http://app.cfo.dc.gov/services/fiscal_impact/pdf/spring09/FISFireandEmergencyMedicalServicesAmendmentActof2012.pdf" TargetMode="External"/><Relationship Id="rId5" Type="http://schemas.openxmlformats.org/officeDocument/2006/relationships/hyperlink" Target="https://mpdc.dc.gov/sites/default/files/dc/sites/mpdc/publication/attachments/RC25-0013-BWC_Introduction.pdf" TargetMode="External"/><Relationship Id="rId4" Type="http://schemas.openxmlformats.org/officeDocument/2006/relationships/hyperlink" Target="http://tinyurl.com/yvfn8puv" TargetMode="External"/><Relationship Id="rId9" Type="http://schemas.openxmlformats.org/officeDocument/2006/relationships/hyperlink" Target="https://lims.dccouncil.gov/downloads/LIMS/52623/Introduction/RC25-0029-Introduction.pdf?Id=158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CtDLhjFCwnoTLsOe6bJCw4SfNQ==">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FA4C97-47F9-9C43-B1E6-BFBB80EE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Fritz Mulhauser</cp:lastModifiedBy>
  <cp:revision>2</cp:revision>
  <cp:lastPrinted>2024-01-31T13:55:00Z</cp:lastPrinted>
  <dcterms:created xsi:type="dcterms:W3CDTF">2024-02-21T16:43:00Z</dcterms:created>
  <dcterms:modified xsi:type="dcterms:W3CDTF">2024-02-21T16:43:00Z</dcterms:modified>
</cp:coreProperties>
</file>