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3660C" w14:textId="77777777" w:rsidR="00844AE2" w:rsidRDefault="00000000">
      <w:pPr>
        <w:spacing w:after="0" w:line="259" w:lineRule="auto"/>
        <w:ind w:right="5"/>
        <w:jc w:val="center"/>
      </w:pPr>
      <w:r>
        <w:rPr>
          <w:b/>
        </w:rPr>
        <w:t xml:space="preserve">GOVERNMENT OF THE DISTRICT OF COLUMBIA </w:t>
      </w:r>
    </w:p>
    <w:p w14:paraId="624EB76B" w14:textId="77777777" w:rsidR="00844AE2" w:rsidRDefault="00000000">
      <w:pPr>
        <w:spacing w:after="0" w:line="259" w:lineRule="auto"/>
        <w:ind w:right="6"/>
        <w:jc w:val="center"/>
      </w:pPr>
      <w:r>
        <w:rPr>
          <w:b/>
        </w:rPr>
        <w:t xml:space="preserve">EXECUTIVE OFFICE OF THE MAYOR </w:t>
      </w:r>
    </w:p>
    <w:p w14:paraId="00DF74A4" w14:textId="77777777" w:rsidR="00844AE2" w:rsidRDefault="00000000">
      <w:pPr>
        <w:spacing w:after="0" w:line="259" w:lineRule="auto"/>
        <w:ind w:left="0" w:right="4027" w:firstLine="0"/>
        <w:jc w:val="left"/>
      </w:pPr>
      <w:r>
        <w:rPr>
          <w:b/>
        </w:rPr>
        <w:t xml:space="preserve"> </w:t>
      </w:r>
    </w:p>
    <w:p w14:paraId="178A7938" w14:textId="77777777" w:rsidR="00844AE2" w:rsidRDefault="00000000">
      <w:pPr>
        <w:spacing w:after="0" w:line="259" w:lineRule="auto"/>
        <w:ind w:left="0" w:right="4027" w:firstLine="0"/>
        <w:jc w:val="left"/>
      </w:pPr>
      <w:r>
        <w:rPr>
          <w:noProof/>
        </w:rPr>
        <w:drawing>
          <wp:anchor distT="0" distB="0" distL="114300" distR="114300" simplePos="0" relativeHeight="251658240" behindDoc="0" locked="0" layoutInCell="1" allowOverlap="0" wp14:anchorId="4ABD65C1" wp14:editId="5EF566FE">
            <wp:simplePos x="0" y="0"/>
            <wp:positionH relativeFrom="column">
              <wp:posOffset>2565730</wp:posOffset>
            </wp:positionH>
            <wp:positionV relativeFrom="paragraph">
              <wp:posOffset>-72237</wp:posOffset>
            </wp:positionV>
            <wp:extent cx="822960" cy="651510"/>
            <wp:effectExtent l="0" t="0" r="0" b="0"/>
            <wp:wrapSquare wrapText="bothSides"/>
            <wp:docPr id="323" name="Picture 323"/>
            <wp:cNvGraphicFramePr/>
            <a:graphic xmlns:a="http://schemas.openxmlformats.org/drawingml/2006/main">
              <a:graphicData uri="http://schemas.openxmlformats.org/drawingml/2006/picture">
                <pic:pic xmlns:pic="http://schemas.openxmlformats.org/drawingml/2006/picture">
                  <pic:nvPicPr>
                    <pic:cNvPr id="323" name="Picture 323"/>
                    <pic:cNvPicPr/>
                  </pic:nvPicPr>
                  <pic:blipFill>
                    <a:blip r:embed="rId6"/>
                    <a:stretch>
                      <a:fillRect/>
                    </a:stretch>
                  </pic:blipFill>
                  <pic:spPr>
                    <a:xfrm>
                      <a:off x="0" y="0"/>
                      <a:ext cx="822960" cy="651510"/>
                    </a:xfrm>
                    <a:prstGeom prst="rect">
                      <a:avLst/>
                    </a:prstGeom>
                  </pic:spPr>
                </pic:pic>
              </a:graphicData>
            </a:graphic>
          </wp:anchor>
        </w:drawing>
      </w:r>
      <w:r>
        <w:t xml:space="preserve"> </w:t>
      </w:r>
    </w:p>
    <w:p w14:paraId="36591151" w14:textId="77777777" w:rsidR="00844AE2" w:rsidRDefault="00000000">
      <w:pPr>
        <w:spacing w:after="26" w:line="259" w:lineRule="auto"/>
        <w:ind w:left="0" w:right="4027" w:firstLine="0"/>
        <w:jc w:val="left"/>
      </w:pPr>
      <w:r>
        <w:rPr>
          <w:b/>
        </w:rPr>
        <w:t xml:space="preserve"> </w:t>
      </w:r>
    </w:p>
    <w:p w14:paraId="11FA29B5" w14:textId="77777777" w:rsidR="00844AE2" w:rsidRDefault="00000000">
      <w:pPr>
        <w:spacing w:after="0" w:line="259" w:lineRule="auto"/>
        <w:ind w:left="-5" w:right="4027"/>
        <w:jc w:val="left"/>
      </w:pPr>
      <w:r>
        <w:rPr>
          <w:b/>
        </w:rPr>
        <w:t>Mayor’s Office of Legal Counsel</w:t>
      </w:r>
      <w:r>
        <w:t xml:space="preserve"> </w:t>
      </w:r>
    </w:p>
    <w:p w14:paraId="451EB562" w14:textId="77777777" w:rsidR="00844AE2" w:rsidRDefault="00000000">
      <w:pPr>
        <w:spacing w:after="0" w:line="259" w:lineRule="auto"/>
        <w:ind w:left="0" w:right="4027" w:firstLine="0"/>
        <w:jc w:val="left"/>
      </w:pPr>
      <w:r>
        <w:t xml:space="preserve"> </w:t>
      </w:r>
    </w:p>
    <w:p w14:paraId="46214605" w14:textId="77777777" w:rsidR="00844AE2" w:rsidRDefault="00000000">
      <w:pPr>
        <w:spacing w:after="0" w:line="259" w:lineRule="auto"/>
        <w:ind w:left="3121" w:right="3114"/>
        <w:jc w:val="center"/>
      </w:pPr>
      <w:r>
        <w:t xml:space="preserve">June 2, 2023 </w:t>
      </w:r>
    </w:p>
    <w:p w14:paraId="05880A5B" w14:textId="77777777" w:rsidR="00844AE2" w:rsidRDefault="00000000">
      <w:pPr>
        <w:spacing w:after="0" w:line="259" w:lineRule="auto"/>
        <w:ind w:left="0" w:right="0" w:firstLine="0"/>
        <w:jc w:val="left"/>
      </w:pPr>
      <w:r>
        <w:t xml:space="preserve"> </w:t>
      </w:r>
    </w:p>
    <w:p w14:paraId="4F02050C" w14:textId="77777777" w:rsidR="00844AE2" w:rsidRDefault="00000000">
      <w:pPr>
        <w:ind w:left="-5" w:right="0"/>
      </w:pPr>
      <w:r>
        <w:t xml:space="preserve">Anita Bonds </w:t>
      </w:r>
    </w:p>
    <w:p w14:paraId="1B887BD9" w14:textId="77777777" w:rsidR="00844AE2" w:rsidRDefault="00000000">
      <w:pPr>
        <w:ind w:left="-5" w:right="0"/>
      </w:pPr>
      <w:r>
        <w:t xml:space="preserve">At-Large Councilmember </w:t>
      </w:r>
    </w:p>
    <w:p w14:paraId="5E03E92E" w14:textId="77777777" w:rsidR="00844AE2" w:rsidRDefault="00000000">
      <w:pPr>
        <w:ind w:left="-5" w:right="0"/>
      </w:pPr>
      <w:r>
        <w:t xml:space="preserve">Chairperson, Committee on Executive  </w:t>
      </w:r>
    </w:p>
    <w:p w14:paraId="57157023" w14:textId="77777777" w:rsidR="00844AE2" w:rsidRDefault="00000000">
      <w:pPr>
        <w:ind w:left="-5" w:right="0"/>
      </w:pPr>
      <w:r>
        <w:t xml:space="preserve"> Administration and Labor </w:t>
      </w:r>
    </w:p>
    <w:p w14:paraId="6C7BD42A" w14:textId="77777777" w:rsidR="00844AE2" w:rsidRDefault="00000000">
      <w:pPr>
        <w:ind w:left="-5" w:right="0"/>
      </w:pPr>
      <w:r>
        <w:t xml:space="preserve">1350 Pennsylvania Ave., NW, Suite 404 </w:t>
      </w:r>
    </w:p>
    <w:p w14:paraId="65874D36" w14:textId="77777777" w:rsidR="00844AE2" w:rsidRDefault="00000000">
      <w:pPr>
        <w:ind w:left="-5" w:right="0"/>
      </w:pPr>
      <w:r>
        <w:t xml:space="preserve">Washington, D.C. 20004 </w:t>
      </w:r>
    </w:p>
    <w:p w14:paraId="12A9F77F" w14:textId="77777777" w:rsidR="00844AE2" w:rsidRDefault="00000000">
      <w:pPr>
        <w:spacing w:after="0" w:line="259" w:lineRule="auto"/>
        <w:ind w:left="720" w:right="0" w:firstLine="0"/>
        <w:jc w:val="left"/>
      </w:pPr>
      <w:r>
        <w:rPr>
          <w:b/>
        </w:rPr>
        <w:t xml:space="preserve"> </w:t>
      </w:r>
    </w:p>
    <w:p w14:paraId="1D8885AD" w14:textId="77777777" w:rsidR="00844AE2" w:rsidRDefault="00000000">
      <w:pPr>
        <w:spacing w:after="0" w:line="259" w:lineRule="auto"/>
        <w:ind w:left="730" w:right="0"/>
        <w:jc w:val="left"/>
      </w:pPr>
      <w:r>
        <w:rPr>
          <w:b/>
        </w:rPr>
        <w:t xml:space="preserve">Re:  Follow-up to MOLC Fiscal Year 2024 Budget Oversight Hearing </w:t>
      </w:r>
    </w:p>
    <w:p w14:paraId="197CFCB7" w14:textId="77777777" w:rsidR="00844AE2" w:rsidRDefault="00000000">
      <w:pPr>
        <w:spacing w:after="0" w:line="259" w:lineRule="auto"/>
        <w:ind w:left="0" w:right="0" w:firstLine="0"/>
        <w:jc w:val="left"/>
      </w:pPr>
      <w:r>
        <w:t xml:space="preserve"> </w:t>
      </w:r>
    </w:p>
    <w:p w14:paraId="6AF7BB2A" w14:textId="77777777" w:rsidR="00844AE2" w:rsidRDefault="00000000">
      <w:pPr>
        <w:ind w:left="-5" w:right="0"/>
      </w:pPr>
      <w:r>
        <w:t xml:space="preserve">Dear Madam Chair, </w:t>
      </w:r>
    </w:p>
    <w:p w14:paraId="3CD42D6C" w14:textId="77777777" w:rsidR="00844AE2" w:rsidRDefault="00000000">
      <w:pPr>
        <w:spacing w:after="0" w:line="259" w:lineRule="auto"/>
        <w:ind w:left="0" w:right="0" w:firstLine="0"/>
        <w:jc w:val="left"/>
      </w:pPr>
      <w:r>
        <w:t xml:space="preserve"> </w:t>
      </w:r>
    </w:p>
    <w:p w14:paraId="32DF691E" w14:textId="77777777" w:rsidR="00844AE2" w:rsidRDefault="00000000">
      <w:pPr>
        <w:ind w:left="-5" w:right="0"/>
      </w:pPr>
      <w:r>
        <w:t xml:space="preserve">Please accept this correspondence as a supplement to my testimony presented to you at the Fiscal Year 2024 Budget Oversight Hearing on behalf of the Mayor’s Office of Legal Counsel (“MOLC”). </w:t>
      </w:r>
    </w:p>
    <w:p w14:paraId="3FD0786B" w14:textId="77777777" w:rsidR="00844AE2" w:rsidRDefault="00000000">
      <w:pPr>
        <w:spacing w:after="0" w:line="259" w:lineRule="auto"/>
        <w:ind w:left="0" w:right="0" w:firstLine="0"/>
        <w:jc w:val="left"/>
      </w:pPr>
      <w:r>
        <w:t xml:space="preserve"> </w:t>
      </w:r>
    </w:p>
    <w:p w14:paraId="3BA87684" w14:textId="77777777" w:rsidR="00844AE2" w:rsidRDefault="00000000">
      <w:pPr>
        <w:ind w:left="-5" w:right="0"/>
      </w:pPr>
      <w:r>
        <w:t xml:space="preserve">At the hearing, you requested the available numerical data related to the Freedom of Information </w:t>
      </w:r>
    </w:p>
    <w:p w14:paraId="48D77108" w14:textId="77777777" w:rsidR="00844AE2" w:rsidRDefault="00000000">
      <w:pPr>
        <w:ind w:left="-5" w:right="0"/>
      </w:pPr>
      <w:r>
        <w:t xml:space="preserve">Act (“FOIA”) appeals received and processed by the MOLC throughout the fiscal year for the purpose of assessing the office’s current staffing needs and for consideration in any future efforts by the Council to modernize the District’s FOIA statute.  While we do not currently maintain </w:t>
      </w:r>
      <w:proofErr w:type="gramStart"/>
      <w:r>
        <w:t>all of</w:t>
      </w:r>
      <w:proofErr w:type="gramEnd"/>
      <w:r>
        <w:t xml:space="preserve"> the statistics discussed, the available data speaks to your concerns, and we will revisit the collection of additional data that may assist future efforts to reform and improve public accessibility to District records.   </w:t>
      </w:r>
    </w:p>
    <w:p w14:paraId="0C1819E6" w14:textId="77777777" w:rsidR="00844AE2" w:rsidRDefault="00000000">
      <w:pPr>
        <w:spacing w:after="0" w:line="259" w:lineRule="auto"/>
        <w:ind w:left="0" w:right="0" w:firstLine="0"/>
        <w:jc w:val="left"/>
      </w:pPr>
      <w:r>
        <w:t xml:space="preserve"> </w:t>
      </w:r>
    </w:p>
    <w:p w14:paraId="13A645CE" w14:textId="77777777" w:rsidR="00844AE2" w:rsidRDefault="00000000">
      <w:pPr>
        <w:ind w:left="-5" w:right="0"/>
      </w:pPr>
      <w:r>
        <w:t xml:space="preserve">One of the challenges experienced by the MOLC during the public health emergency was an increase in unresolved FOIA appeals creating a significant backlog.  This backlog originated, in part, at the agency level due to the tolling of statutory deadlines which resulted in unripe appeals and a bottleneck of outstanding FOIA requests.  </w:t>
      </w:r>
    </w:p>
    <w:p w14:paraId="6CD09A9E" w14:textId="77777777" w:rsidR="00844AE2" w:rsidRDefault="00000000">
      <w:pPr>
        <w:spacing w:after="0" w:line="259" w:lineRule="auto"/>
        <w:ind w:left="0" w:right="0" w:firstLine="0"/>
        <w:jc w:val="left"/>
      </w:pPr>
      <w:r>
        <w:t xml:space="preserve"> </w:t>
      </w:r>
    </w:p>
    <w:p w14:paraId="19C894BD" w14:textId="77777777" w:rsidR="00844AE2" w:rsidRDefault="00000000">
      <w:pPr>
        <w:ind w:left="-5" w:right="0"/>
      </w:pPr>
      <w:r>
        <w:t xml:space="preserve">Beginning in FY 22, the MOLC undertook a concerted effort to address these delinquent opinions and bring the agency into compliance with the statutory deadlines afforded by FOIA.  As depicted below, significant progress has been made towards reaching this goal.  To date, the MOLC has reduced the number of unresolved appeals to approximately 39.   </w:t>
      </w:r>
    </w:p>
    <w:p w14:paraId="3EFEDB5F" w14:textId="77777777" w:rsidR="00844AE2" w:rsidRDefault="00000000">
      <w:pPr>
        <w:spacing w:after="0" w:line="259" w:lineRule="auto"/>
        <w:ind w:left="0" w:right="0" w:firstLine="0"/>
        <w:jc w:val="left"/>
      </w:pPr>
      <w:r>
        <w:t xml:space="preserve"> </w:t>
      </w:r>
    </w:p>
    <w:p w14:paraId="523294A4" w14:textId="77777777" w:rsidR="00844AE2" w:rsidRDefault="00000000">
      <w:pPr>
        <w:spacing w:after="0" w:line="259" w:lineRule="auto"/>
        <w:ind w:left="0" w:right="0" w:firstLine="0"/>
        <w:jc w:val="left"/>
      </w:pPr>
      <w:r>
        <w:t xml:space="preserve"> </w:t>
      </w:r>
    </w:p>
    <w:p w14:paraId="797D3C34" w14:textId="77777777" w:rsidR="00844AE2" w:rsidRDefault="00000000">
      <w:pPr>
        <w:spacing w:after="0" w:line="259" w:lineRule="auto"/>
        <w:ind w:left="0" w:right="0" w:firstLine="0"/>
        <w:jc w:val="left"/>
      </w:pPr>
      <w:r>
        <w:t xml:space="preserve"> </w:t>
      </w:r>
    </w:p>
    <w:p w14:paraId="547B94EB" w14:textId="77777777" w:rsidR="00844AE2" w:rsidRDefault="00000000">
      <w:pPr>
        <w:spacing w:after="0" w:line="259" w:lineRule="auto"/>
        <w:ind w:left="0" w:right="0" w:firstLine="0"/>
        <w:jc w:val="left"/>
      </w:pPr>
      <w:r>
        <w:t xml:space="preserve"> </w:t>
      </w:r>
    </w:p>
    <w:p w14:paraId="240CE925" w14:textId="77777777" w:rsidR="00844AE2" w:rsidRDefault="00000000">
      <w:pPr>
        <w:spacing w:after="0" w:line="259" w:lineRule="auto"/>
        <w:ind w:left="0" w:right="0" w:firstLine="0"/>
        <w:jc w:val="left"/>
      </w:pPr>
      <w:r>
        <w:t xml:space="preserve"> </w:t>
      </w:r>
    </w:p>
    <w:p w14:paraId="1E58E7E4" w14:textId="77777777" w:rsidR="00844AE2" w:rsidRDefault="00000000">
      <w:pPr>
        <w:spacing w:after="2" w:line="259" w:lineRule="auto"/>
        <w:ind w:left="-5" w:right="0"/>
        <w:jc w:val="left"/>
      </w:pPr>
      <w:r>
        <w:rPr>
          <w:sz w:val="20"/>
        </w:rPr>
        <w:lastRenderedPageBreak/>
        <w:t xml:space="preserve">Page 2 </w:t>
      </w:r>
    </w:p>
    <w:p w14:paraId="53C4D930" w14:textId="77777777" w:rsidR="00844AE2" w:rsidRDefault="00000000">
      <w:pPr>
        <w:spacing w:after="2" w:line="259" w:lineRule="auto"/>
        <w:ind w:left="-5" w:right="0"/>
        <w:jc w:val="left"/>
      </w:pPr>
      <w:r>
        <w:rPr>
          <w:sz w:val="20"/>
        </w:rPr>
        <w:t xml:space="preserve">Chairperson Bonds </w:t>
      </w:r>
    </w:p>
    <w:p w14:paraId="41CCEB97" w14:textId="77777777" w:rsidR="00844AE2" w:rsidRDefault="00000000">
      <w:pPr>
        <w:spacing w:after="2" w:line="259" w:lineRule="auto"/>
        <w:ind w:left="-5" w:right="0"/>
        <w:jc w:val="left"/>
      </w:pPr>
      <w:r>
        <w:rPr>
          <w:sz w:val="20"/>
        </w:rPr>
        <w:t xml:space="preserve">June 2, 2023 </w:t>
      </w:r>
    </w:p>
    <w:p w14:paraId="6D76E1EF" w14:textId="77777777" w:rsidR="00844AE2" w:rsidRDefault="00000000">
      <w:pPr>
        <w:spacing w:after="0" w:line="259" w:lineRule="auto"/>
        <w:ind w:left="0" w:right="0" w:firstLine="0"/>
        <w:jc w:val="left"/>
      </w:pPr>
      <w:r>
        <w:rPr>
          <w:rFonts w:ascii="Calibri" w:eastAsia="Calibri" w:hAnsi="Calibri" w:cs="Calibri"/>
          <w:sz w:val="22"/>
        </w:rPr>
        <w:t xml:space="preserve"> </w:t>
      </w:r>
    </w:p>
    <w:p w14:paraId="04C6851D" w14:textId="77777777" w:rsidR="00844AE2" w:rsidRDefault="00000000">
      <w:pPr>
        <w:spacing w:after="0" w:line="259" w:lineRule="auto"/>
        <w:ind w:left="0" w:right="0" w:firstLine="0"/>
        <w:jc w:val="left"/>
      </w:pPr>
      <w:r>
        <w:rPr>
          <w:rFonts w:ascii="Calibri" w:eastAsia="Calibri" w:hAnsi="Calibri" w:cs="Calibri"/>
          <w:sz w:val="22"/>
        </w:rPr>
        <w:t xml:space="preserve"> </w:t>
      </w:r>
    </w:p>
    <w:p w14:paraId="4EED639B" w14:textId="77777777" w:rsidR="00844AE2" w:rsidRDefault="00000000">
      <w:pPr>
        <w:spacing w:after="0" w:line="259" w:lineRule="auto"/>
        <w:ind w:left="0" w:right="0" w:firstLine="0"/>
        <w:jc w:val="left"/>
      </w:pPr>
      <w:r>
        <w:rPr>
          <w:rFonts w:ascii="Calibri" w:eastAsia="Calibri" w:hAnsi="Calibri" w:cs="Calibri"/>
          <w:sz w:val="22"/>
        </w:rPr>
        <w:t xml:space="preserve"> </w:t>
      </w:r>
    </w:p>
    <w:p w14:paraId="04130263" w14:textId="77777777" w:rsidR="00844AE2" w:rsidRDefault="00000000">
      <w:pPr>
        <w:spacing w:after="0" w:line="259" w:lineRule="auto"/>
        <w:ind w:left="0" w:right="0" w:firstLine="0"/>
        <w:jc w:val="left"/>
      </w:pPr>
      <w:r>
        <w:t xml:space="preserve"> </w:t>
      </w:r>
    </w:p>
    <w:p w14:paraId="684F319B" w14:textId="77777777" w:rsidR="00844AE2" w:rsidRDefault="00000000">
      <w:pPr>
        <w:spacing w:after="0" w:line="259" w:lineRule="auto"/>
        <w:ind w:left="0" w:right="0" w:firstLine="0"/>
        <w:jc w:val="left"/>
      </w:pPr>
      <w:r>
        <w:t xml:space="preserve"> </w:t>
      </w:r>
    </w:p>
    <w:p w14:paraId="412EF681" w14:textId="77777777" w:rsidR="00844AE2" w:rsidRDefault="00000000">
      <w:pPr>
        <w:tabs>
          <w:tab w:val="center" w:pos="1923"/>
          <w:tab w:val="center" w:pos="4237"/>
          <w:tab w:val="center" w:pos="6767"/>
          <w:tab w:val="right" w:pos="9363"/>
        </w:tabs>
        <w:spacing w:after="0" w:line="259" w:lineRule="auto"/>
        <w:ind w:left="0" w:right="0" w:firstLine="0"/>
        <w:jc w:val="left"/>
      </w:pPr>
      <w:r>
        <w:rPr>
          <w:b/>
        </w:rPr>
        <w:t xml:space="preserve"> </w:t>
      </w:r>
      <w:r>
        <w:rPr>
          <w:b/>
        </w:rPr>
        <w:tab/>
      </w:r>
      <w:r>
        <w:rPr>
          <w:b/>
          <w:u w:val="single" w:color="000000"/>
        </w:rPr>
        <w:t>Appeals Docketed</w:t>
      </w:r>
      <w:r>
        <w:rPr>
          <w:b/>
        </w:rPr>
        <w:t xml:space="preserve"> </w:t>
      </w:r>
      <w:r>
        <w:rPr>
          <w:b/>
        </w:rPr>
        <w:tab/>
      </w:r>
      <w:r>
        <w:rPr>
          <w:b/>
          <w:u w:val="single" w:color="000000"/>
        </w:rPr>
        <w:t>Appeals Resolved</w:t>
      </w:r>
      <w:r>
        <w:rPr>
          <w:b/>
        </w:rPr>
        <w:t xml:space="preserve"> </w:t>
      </w:r>
      <w:r>
        <w:rPr>
          <w:b/>
        </w:rPr>
        <w:tab/>
      </w:r>
      <w:r>
        <w:rPr>
          <w:b/>
          <w:u w:val="single" w:color="000000"/>
        </w:rPr>
        <w:t>Unresolved Appeals</w:t>
      </w:r>
      <w:r>
        <w:rPr>
          <w:b/>
          <w:vertAlign w:val="superscript"/>
        </w:rPr>
        <w:footnoteReference w:id="1"/>
      </w:r>
      <w:r>
        <w:rPr>
          <w:b/>
        </w:rPr>
        <w:t xml:space="preserve"> </w:t>
      </w:r>
      <w:r>
        <w:rPr>
          <w:b/>
        </w:rPr>
        <w:tab/>
      </w:r>
      <w:r>
        <w:rPr>
          <w:b/>
          <w:u w:val="single" w:color="000000"/>
        </w:rPr>
        <w:t>Efficiency</w:t>
      </w:r>
      <w:r>
        <w:rPr>
          <w:b/>
          <w:vertAlign w:val="superscript"/>
        </w:rPr>
        <w:footnoteReference w:id="2"/>
      </w:r>
      <w:r>
        <w:rPr>
          <w:b/>
        </w:rPr>
        <w:t xml:space="preserve"> </w:t>
      </w:r>
    </w:p>
    <w:p w14:paraId="41B37B9E" w14:textId="77777777" w:rsidR="00844AE2" w:rsidRDefault="00000000">
      <w:pPr>
        <w:spacing w:after="0" w:line="259" w:lineRule="auto"/>
        <w:ind w:left="108" w:right="0" w:firstLine="0"/>
        <w:jc w:val="left"/>
      </w:pPr>
      <w:r>
        <w:rPr>
          <w:b/>
        </w:rPr>
        <w:t xml:space="preserve"> </w:t>
      </w:r>
      <w:r>
        <w:rPr>
          <w:b/>
        </w:rPr>
        <w:tab/>
      </w:r>
      <w:r>
        <w:t xml:space="preserve"> </w:t>
      </w:r>
      <w:r>
        <w:tab/>
        <w:t xml:space="preserve"> </w:t>
      </w:r>
      <w:r>
        <w:tab/>
        <w:t xml:space="preserve"> </w:t>
      </w:r>
      <w:r>
        <w:tab/>
        <w:t xml:space="preserve"> </w:t>
      </w:r>
    </w:p>
    <w:p w14:paraId="1D9A448D" w14:textId="77777777" w:rsidR="00844AE2" w:rsidRDefault="00000000">
      <w:pPr>
        <w:tabs>
          <w:tab w:val="center" w:pos="1925"/>
          <w:tab w:val="center" w:pos="4237"/>
          <w:tab w:val="center" w:pos="6769"/>
          <w:tab w:val="center" w:pos="8699"/>
        </w:tabs>
        <w:ind w:left="0" w:right="0" w:firstLine="0"/>
        <w:jc w:val="left"/>
      </w:pPr>
      <w:r>
        <w:rPr>
          <w:b/>
        </w:rPr>
        <w:t xml:space="preserve">FY 21 </w:t>
      </w:r>
      <w:r>
        <w:rPr>
          <w:b/>
        </w:rPr>
        <w:tab/>
      </w:r>
      <w:r>
        <w:t xml:space="preserve">268 </w:t>
      </w:r>
      <w:r>
        <w:tab/>
        <w:t xml:space="preserve">89 </w:t>
      </w:r>
      <w:r>
        <w:tab/>
        <w:t xml:space="preserve">231 </w:t>
      </w:r>
      <w:r>
        <w:tab/>
        <w:t xml:space="preserve">33.2% </w:t>
      </w:r>
    </w:p>
    <w:p w14:paraId="42449B22" w14:textId="77777777" w:rsidR="00844AE2" w:rsidRDefault="00000000">
      <w:pPr>
        <w:tabs>
          <w:tab w:val="center" w:pos="1925"/>
          <w:tab w:val="center" w:pos="4237"/>
          <w:tab w:val="center" w:pos="6769"/>
          <w:tab w:val="center" w:pos="8699"/>
        </w:tabs>
        <w:ind w:left="0" w:right="0" w:firstLine="0"/>
        <w:jc w:val="left"/>
      </w:pPr>
      <w:r>
        <w:rPr>
          <w:b/>
        </w:rPr>
        <w:t xml:space="preserve">FY 22 </w:t>
      </w:r>
      <w:r>
        <w:rPr>
          <w:b/>
        </w:rPr>
        <w:tab/>
      </w:r>
      <w:r>
        <w:t xml:space="preserve">232 </w:t>
      </w:r>
      <w:r>
        <w:tab/>
        <w:t xml:space="preserve">210 </w:t>
      </w:r>
      <w:r>
        <w:tab/>
        <w:t xml:space="preserve">237 </w:t>
      </w:r>
      <w:r>
        <w:tab/>
        <w:t xml:space="preserve">90.5% </w:t>
      </w:r>
    </w:p>
    <w:p w14:paraId="5D002CE2" w14:textId="77777777" w:rsidR="00844AE2" w:rsidRDefault="00000000">
      <w:pPr>
        <w:tabs>
          <w:tab w:val="center" w:pos="1925"/>
          <w:tab w:val="center" w:pos="4237"/>
          <w:tab w:val="center" w:pos="6769"/>
          <w:tab w:val="center" w:pos="8699"/>
        </w:tabs>
        <w:ind w:left="0" w:right="0" w:firstLine="0"/>
        <w:jc w:val="left"/>
      </w:pPr>
      <w:r>
        <w:rPr>
          <w:b/>
        </w:rPr>
        <w:t xml:space="preserve">FY </w:t>
      </w:r>
      <w:proofErr w:type="gramStart"/>
      <w:r>
        <w:rPr>
          <w:b/>
        </w:rPr>
        <w:t xml:space="preserve">23  </w:t>
      </w:r>
      <w:r>
        <w:rPr>
          <w:b/>
        </w:rPr>
        <w:tab/>
      </w:r>
      <w:proofErr w:type="gramEnd"/>
      <w:r>
        <w:t xml:space="preserve">125 </w:t>
      </w:r>
      <w:r>
        <w:tab/>
        <w:t xml:space="preserve">318 </w:t>
      </w:r>
      <w:r>
        <w:tab/>
        <w:t xml:space="preserve">39 </w:t>
      </w:r>
      <w:r>
        <w:tab/>
        <w:t xml:space="preserve">254.4% </w:t>
      </w:r>
    </w:p>
    <w:p w14:paraId="6AC6C985" w14:textId="77777777" w:rsidR="00844AE2" w:rsidRDefault="00000000">
      <w:pPr>
        <w:spacing w:after="0" w:line="259" w:lineRule="auto"/>
        <w:ind w:left="0" w:right="0" w:firstLine="0"/>
        <w:jc w:val="left"/>
      </w:pPr>
      <w:r>
        <w:t xml:space="preserve"> </w:t>
      </w:r>
    </w:p>
    <w:p w14:paraId="672DD0FA" w14:textId="77777777" w:rsidR="00844AE2" w:rsidRDefault="00000000">
      <w:pPr>
        <w:ind w:left="-5" w:right="0"/>
      </w:pPr>
      <w:r>
        <w:t xml:space="preserve">Looking forward, we anticipate the number of appeals received will remain steady as well as our efficiency in resolving them.   </w:t>
      </w:r>
    </w:p>
    <w:p w14:paraId="63B6E29B" w14:textId="77777777" w:rsidR="00844AE2" w:rsidRDefault="00000000">
      <w:pPr>
        <w:spacing w:after="0" w:line="259" w:lineRule="auto"/>
        <w:ind w:left="0" w:right="0" w:firstLine="0"/>
        <w:jc w:val="left"/>
      </w:pPr>
      <w:r>
        <w:t xml:space="preserve"> </w:t>
      </w:r>
    </w:p>
    <w:p w14:paraId="7A2041B3" w14:textId="77777777" w:rsidR="00844AE2" w:rsidRDefault="00000000">
      <w:pPr>
        <w:ind w:left="-5" w:right="0"/>
      </w:pPr>
      <w:r>
        <w:t xml:space="preserve">Regarding the two cases that council witness, Mr. Fritz Mulhauser, mentioned at the Budget Oversight Hearing, we previously advised you as to the details of one of these cases in our February 24, </w:t>
      </w:r>
      <w:proofErr w:type="gramStart"/>
      <w:r>
        <w:t>2023</w:t>
      </w:r>
      <w:proofErr w:type="gramEnd"/>
      <w:r>
        <w:t xml:space="preserve"> correspondence.  Quite simply, we inadvertently sent out a draft opinion which was quickly corrected.  Neither, the draft nor the final opinion were ever subject to the scrutiny of the Office of the City Administrator, as suggested by Mr. Mulhauser.   </w:t>
      </w:r>
    </w:p>
    <w:p w14:paraId="428577B9" w14:textId="77777777" w:rsidR="00844AE2" w:rsidRDefault="00000000">
      <w:pPr>
        <w:spacing w:after="0" w:line="259" w:lineRule="auto"/>
        <w:ind w:left="0" w:right="0" w:firstLine="0"/>
        <w:jc w:val="left"/>
      </w:pPr>
      <w:r>
        <w:t xml:space="preserve"> </w:t>
      </w:r>
    </w:p>
    <w:p w14:paraId="154ECC40" w14:textId="77777777" w:rsidR="00844AE2" w:rsidRDefault="00000000">
      <w:pPr>
        <w:ind w:left="-5" w:right="0"/>
      </w:pPr>
      <w:r>
        <w:t xml:space="preserve">The second case referenced by Mr. Mulhauser was an appeal of a FOIA determination made by the D.C. Board of Ethics and Government Accountability (“BEGA”).  In the appeal of that case, BEGA declined to send the MOLC a copy of an audio recording it had made during an investigation of a complaint.  In the absence of reviewing that recording, and in the consideration of BEGA’s authority to both steer and mandate the District’s FOIA policy through the issuance of advisory opinions, the MOLC deferred to the determination of BEGA not to release the audio pursuant to the exemptions cited by BEGA in response to the FOIA request.  It would have been otherwise imprudent for this office to issue an opinion on records an agency declined to provide and that we did not have an opportunity to review.   </w:t>
      </w:r>
    </w:p>
    <w:p w14:paraId="0AFE7723" w14:textId="77777777" w:rsidR="00844AE2" w:rsidRDefault="00000000">
      <w:pPr>
        <w:spacing w:after="0" w:line="259" w:lineRule="auto"/>
        <w:ind w:left="0" w:right="0" w:firstLine="0"/>
        <w:jc w:val="left"/>
      </w:pPr>
      <w:r>
        <w:t xml:space="preserve"> </w:t>
      </w:r>
    </w:p>
    <w:p w14:paraId="5F2D42EB" w14:textId="77777777" w:rsidR="00844AE2" w:rsidRDefault="00000000">
      <w:pPr>
        <w:ind w:left="-5" w:right="0"/>
      </w:pPr>
      <w:r>
        <w:t xml:space="preserve">I hope the foregoing addresses any concerns arising out of the MOLC’s budget oversight testimony.  Please let us know if you require any further information or clarification.  We appreciate your oversight of the MOLC’s work and are committed to providing you with the most accurate and up-to-date </w:t>
      </w:r>
      <w:proofErr w:type="gramStart"/>
      <w:r>
        <w:t xml:space="preserve">information </w:t>
      </w:r>
      <w:r>
        <w:rPr>
          <w:rFonts w:ascii="Arial" w:eastAsia="Arial" w:hAnsi="Arial" w:cs="Arial"/>
        </w:rPr>
        <w:t>.</w:t>
      </w:r>
      <w:proofErr w:type="gramEnd"/>
    </w:p>
    <w:p w14:paraId="666D1CF7" w14:textId="77777777" w:rsidR="00844AE2" w:rsidRDefault="00000000">
      <w:pPr>
        <w:spacing w:after="216" w:line="259" w:lineRule="auto"/>
        <w:ind w:left="0" w:right="0" w:firstLine="0"/>
        <w:jc w:val="left"/>
      </w:pPr>
      <w:r>
        <w:t xml:space="preserve"> </w:t>
      </w:r>
    </w:p>
    <w:p w14:paraId="02FD29A5" w14:textId="77777777" w:rsidR="00844AE2" w:rsidRDefault="00000000">
      <w:pPr>
        <w:tabs>
          <w:tab w:val="center" w:pos="720"/>
          <w:tab w:val="center" w:pos="1440"/>
          <w:tab w:val="center" w:pos="2161"/>
          <w:tab w:val="center" w:pos="2881"/>
          <w:tab w:val="center" w:pos="3601"/>
          <w:tab w:val="center" w:pos="4321"/>
          <w:tab w:val="center" w:pos="5523"/>
        </w:tabs>
        <w:spacing w:after="235"/>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Sincerely, </w:t>
      </w:r>
    </w:p>
    <w:p w14:paraId="4533405C" w14:textId="77777777" w:rsidR="00844AE2" w:rsidRDefault="00000000">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5A38E3B6" w14:textId="77777777" w:rsidR="00844AE2" w:rsidRDefault="00000000">
      <w:pPr>
        <w:spacing w:after="28"/>
        <w:ind w:left="-5" w:right="0"/>
      </w:pPr>
      <w:r>
        <w:rPr>
          <w:noProof/>
        </w:rPr>
        <w:drawing>
          <wp:anchor distT="0" distB="0" distL="114300" distR="114300" simplePos="0" relativeHeight="251659264" behindDoc="0" locked="0" layoutInCell="1" allowOverlap="0" wp14:anchorId="077CFBDD" wp14:editId="60D6FBBD">
            <wp:simplePos x="0" y="0"/>
            <wp:positionH relativeFrom="column">
              <wp:posOffset>3183738</wp:posOffset>
            </wp:positionH>
            <wp:positionV relativeFrom="paragraph">
              <wp:posOffset>-134941</wp:posOffset>
            </wp:positionV>
            <wp:extent cx="1279754" cy="583569"/>
            <wp:effectExtent l="0" t="0" r="0" b="0"/>
            <wp:wrapNone/>
            <wp:docPr id="554" name="Picture 554"/>
            <wp:cNvGraphicFramePr/>
            <a:graphic xmlns:a="http://schemas.openxmlformats.org/drawingml/2006/main">
              <a:graphicData uri="http://schemas.openxmlformats.org/drawingml/2006/picture">
                <pic:pic xmlns:pic="http://schemas.openxmlformats.org/drawingml/2006/picture">
                  <pic:nvPicPr>
                    <pic:cNvPr id="554" name="Picture 554"/>
                    <pic:cNvPicPr/>
                  </pic:nvPicPr>
                  <pic:blipFill>
                    <a:blip r:embed="rId7"/>
                    <a:stretch>
                      <a:fillRect/>
                    </a:stretch>
                  </pic:blipFill>
                  <pic:spPr>
                    <a:xfrm>
                      <a:off x="0" y="0"/>
                      <a:ext cx="1279754" cy="583569"/>
                    </a:xfrm>
                    <a:prstGeom prst="rect">
                      <a:avLst/>
                    </a:prstGeom>
                  </pic:spPr>
                </pic:pic>
              </a:graphicData>
            </a:graphic>
          </wp:anchor>
        </w:drawing>
      </w:r>
      <w:r>
        <w:t xml:space="preserve"> </w:t>
      </w:r>
      <w:r>
        <w:tab/>
        <w:t xml:space="preserve"> </w:t>
      </w:r>
      <w:r>
        <w:tab/>
        <w:t xml:space="preserve"> </w:t>
      </w:r>
      <w:r>
        <w:tab/>
        <w:t xml:space="preserve"> </w:t>
      </w:r>
      <w:r>
        <w:tab/>
        <w:t xml:space="preserve"> </w:t>
      </w:r>
      <w:r>
        <w:tab/>
        <w:t xml:space="preserve"> </w:t>
      </w:r>
      <w:r>
        <w:tab/>
        <w:t xml:space="preserve"> </w:t>
      </w:r>
      <w:r>
        <w:tab/>
        <w:t xml:space="preserve">_________________________ </w:t>
      </w:r>
      <w:proofErr w:type="gramStart"/>
      <w:r>
        <w:tab/>
        <w:t xml:space="preserve">  </w:t>
      </w:r>
      <w:r>
        <w:tab/>
      </w:r>
      <w:proofErr w:type="gramEnd"/>
      <w:r>
        <w:t xml:space="preserve"> </w:t>
      </w:r>
      <w:r>
        <w:tab/>
        <w:t xml:space="preserve"> </w:t>
      </w:r>
      <w:r>
        <w:tab/>
        <w:t xml:space="preserve"> </w:t>
      </w:r>
      <w:r>
        <w:tab/>
        <w:t xml:space="preserve"> </w:t>
      </w:r>
      <w:r>
        <w:tab/>
        <w:t xml:space="preserve"> </w:t>
      </w:r>
      <w:r>
        <w:tab/>
        <w:t xml:space="preserve"> </w:t>
      </w:r>
      <w:r>
        <w:tab/>
        <w:t xml:space="preserve">Eugene Adams </w:t>
      </w:r>
    </w:p>
    <w:p w14:paraId="5384A93D" w14:textId="77777777" w:rsidR="00844AE2" w:rsidRDefault="00000000">
      <w:pPr>
        <w:tabs>
          <w:tab w:val="center" w:pos="720"/>
          <w:tab w:val="center" w:pos="1440"/>
          <w:tab w:val="center" w:pos="2161"/>
          <w:tab w:val="center" w:pos="2881"/>
          <w:tab w:val="center" w:pos="3601"/>
          <w:tab w:val="center" w:pos="4321"/>
          <w:tab w:val="center" w:pos="7098"/>
        </w:tabs>
        <w:ind w:left="-15" w:right="0" w:firstLine="0"/>
        <w:jc w:val="left"/>
      </w:pPr>
      <w:r>
        <w:lastRenderedPageBreak/>
        <w:t xml:space="preserve"> </w:t>
      </w:r>
      <w:r>
        <w:tab/>
        <w:t xml:space="preserve"> </w:t>
      </w:r>
      <w:r>
        <w:tab/>
        <w:t xml:space="preserve"> </w:t>
      </w:r>
      <w:r>
        <w:tab/>
        <w:t xml:space="preserve"> </w:t>
      </w:r>
      <w:r>
        <w:tab/>
        <w:t xml:space="preserve"> </w:t>
      </w:r>
      <w:r>
        <w:tab/>
        <w:t xml:space="preserve"> </w:t>
      </w:r>
      <w:r>
        <w:tab/>
        <w:t xml:space="preserve"> </w:t>
      </w:r>
      <w:r>
        <w:tab/>
        <w:t xml:space="preserve">Director, Mayor’s Office of Legal Counsel </w:t>
      </w:r>
    </w:p>
    <w:p w14:paraId="235D671F" w14:textId="77777777" w:rsidR="00844AE2" w:rsidRDefault="00000000">
      <w:pPr>
        <w:tabs>
          <w:tab w:val="center" w:pos="720"/>
          <w:tab w:val="center" w:pos="1440"/>
          <w:tab w:val="center" w:pos="2161"/>
          <w:tab w:val="center" w:pos="2881"/>
          <w:tab w:val="center" w:pos="3601"/>
          <w:tab w:val="center" w:pos="4321"/>
          <w:tab w:val="center" w:pos="7100"/>
        </w:tabs>
        <w:ind w:left="-15"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1350 Pennsylvania Avenue NW, Suite 407 </w:t>
      </w:r>
    </w:p>
    <w:p w14:paraId="5149E18F" w14:textId="77777777" w:rsidR="00844AE2" w:rsidRDefault="00000000">
      <w:pPr>
        <w:spacing w:after="170" w:line="259" w:lineRule="auto"/>
        <w:ind w:left="3121" w:right="0"/>
        <w:jc w:val="center"/>
      </w:pPr>
      <w:r>
        <w:t xml:space="preserve">Washington, D.C. 20004 </w:t>
      </w:r>
    </w:p>
    <w:p w14:paraId="1A5F07DD" w14:textId="77777777" w:rsidR="00844AE2" w:rsidRDefault="00000000">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3284732D" wp14:editId="1E43664F">
                <wp:extent cx="1829054" cy="9144"/>
                <wp:effectExtent l="0" t="0" r="0" b="0"/>
                <wp:docPr id="2768" name="Group 2768"/>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3338" name="Shape 3338"/>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68" style="width:144.02pt;height:0.719971pt;mso-position-horizontal-relative:char;mso-position-vertical-relative:line" coordsize="18290,91">
                <v:shape id="Shape 3339"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rFonts w:ascii="Calibri" w:eastAsia="Calibri" w:hAnsi="Calibri" w:cs="Calibri"/>
          <w:sz w:val="22"/>
        </w:rPr>
        <w:t xml:space="preserve"> </w:t>
      </w:r>
    </w:p>
    <w:sectPr w:rsidR="00844AE2">
      <w:footnotePr>
        <w:numRestart w:val="eachPage"/>
      </w:footnotePr>
      <w:pgSz w:w="12240" w:h="15840"/>
      <w:pgMar w:top="730" w:right="1436" w:bottom="143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86E9" w14:textId="77777777" w:rsidR="003D574A" w:rsidRDefault="003D574A">
      <w:pPr>
        <w:spacing w:after="0" w:line="240" w:lineRule="auto"/>
      </w:pPr>
      <w:r>
        <w:separator/>
      </w:r>
    </w:p>
  </w:endnote>
  <w:endnote w:type="continuationSeparator" w:id="0">
    <w:p w14:paraId="7C49948A" w14:textId="77777777" w:rsidR="003D574A" w:rsidRDefault="003D5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CC290" w14:textId="77777777" w:rsidR="003D574A" w:rsidRDefault="003D574A">
      <w:pPr>
        <w:spacing w:after="0" w:line="259" w:lineRule="auto"/>
        <w:ind w:left="0" w:right="0" w:firstLine="0"/>
        <w:jc w:val="left"/>
      </w:pPr>
      <w:r>
        <w:separator/>
      </w:r>
    </w:p>
  </w:footnote>
  <w:footnote w:type="continuationSeparator" w:id="0">
    <w:p w14:paraId="024C6B1E" w14:textId="77777777" w:rsidR="003D574A" w:rsidRDefault="003D574A">
      <w:pPr>
        <w:spacing w:after="0" w:line="259" w:lineRule="auto"/>
        <w:ind w:left="0" w:right="0" w:firstLine="0"/>
        <w:jc w:val="left"/>
      </w:pPr>
      <w:r>
        <w:continuationSeparator/>
      </w:r>
    </w:p>
  </w:footnote>
  <w:footnote w:id="1">
    <w:p w14:paraId="1A2DED1C" w14:textId="77777777" w:rsidR="00844AE2" w:rsidRDefault="00000000">
      <w:pPr>
        <w:pStyle w:val="footnotedescription"/>
      </w:pPr>
      <w:r>
        <w:rPr>
          <w:rStyle w:val="footnotemark"/>
        </w:rPr>
        <w:footnoteRef/>
      </w:r>
      <w:r>
        <w:t xml:space="preserve"> At the end of the fiscal year; to date, for FY 2023. </w:t>
      </w:r>
    </w:p>
  </w:footnote>
  <w:footnote w:id="2">
    <w:p w14:paraId="6EEE126D" w14:textId="77777777" w:rsidR="00844AE2" w:rsidRDefault="00000000">
      <w:pPr>
        <w:pStyle w:val="footnotedescription"/>
      </w:pPr>
      <w:r>
        <w:rPr>
          <w:rStyle w:val="footnotemark"/>
        </w:rPr>
        <w:footnoteRef/>
      </w:r>
      <w:r>
        <w:t xml:space="preserve"> The number of yearly opinions completed divided by the number received (Appeals resolved/Appeals Received).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AE2"/>
    <w:rsid w:val="003D574A"/>
    <w:rsid w:val="00844AE2"/>
    <w:rsid w:val="009A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499A60"/>
  <w15:docId w15:val="{7E23EFE7-8B63-904E-A1D7-30302D1A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9" w:lineRule="auto"/>
      <w:ind w:left="10" w:right="2" w:hanging="10"/>
      <w:jc w:val="both"/>
    </w:pPr>
    <w:rPr>
      <w:rFonts w:ascii="Times New Roman" w:eastAsia="Times New Roman" w:hAnsi="Times New Roman" w:cs="Times New Roman"/>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line="259"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3458</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Mulhauser</dc:creator>
  <cp:keywords/>
  <cp:lastModifiedBy>Fritz Mulhauser</cp:lastModifiedBy>
  <cp:revision>2</cp:revision>
  <dcterms:created xsi:type="dcterms:W3CDTF">2023-07-01T20:57:00Z</dcterms:created>
  <dcterms:modified xsi:type="dcterms:W3CDTF">2023-07-01T20:57:00Z</dcterms:modified>
</cp:coreProperties>
</file>