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19" w14:textId="31F12280" w:rsidR="00C241EF" w:rsidRDefault="00184FA8" w:rsidP="00C241EF">
      <w:pPr>
        <w:spacing w:line="240" w:lineRule="auto"/>
        <w:ind w:left="-5"/>
      </w:pPr>
      <w:r>
        <w:rPr>
          <w:noProof/>
        </w:rPr>
        <w:drawing>
          <wp:anchor distT="0" distB="0" distL="114300" distR="114300" simplePos="0" relativeHeight="251659264" behindDoc="0" locked="0" layoutInCell="1" allowOverlap="1" wp14:anchorId="609BEE2B" wp14:editId="1FC3F80C">
            <wp:simplePos x="0" y="0"/>
            <wp:positionH relativeFrom="column">
              <wp:posOffset>-178435</wp:posOffset>
            </wp:positionH>
            <wp:positionV relativeFrom="paragraph">
              <wp:posOffset>164465</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EE595" w14:textId="228DB8A4" w:rsidR="00C241EF" w:rsidRPr="004A70AC" w:rsidRDefault="00C241EF" w:rsidP="00C241EF">
      <w:pPr>
        <w:rPr>
          <w:sz w:val="28"/>
          <w:szCs w:val="28"/>
        </w:rPr>
      </w:pPr>
      <w:r>
        <w:t xml:space="preserve"> </w:t>
      </w:r>
    </w:p>
    <w:p w14:paraId="420A717A" w14:textId="24885683" w:rsidR="00C241EF" w:rsidRDefault="00C241EF" w:rsidP="00C241EF"/>
    <w:p w14:paraId="25B021D3" w14:textId="77777777" w:rsidR="00C241EF" w:rsidRDefault="00C241EF" w:rsidP="00C241EF"/>
    <w:p w14:paraId="710E6095" w14:textId="2F065DF9" w:rsidR="00C241EF" w:rsidRDefault="00184FA8" w:rsidP="00C241EF">
      <w:r>
        <w:rPr>
          <w:noProof/>
        </w:rPr>
        <mc:AlternateContent>
          <mc:Choice Requires="wps">
            <w:drawing>
              <wp:anchor distT="0" distB="0" distL="114300" distR="114300" simplePos="0" relativeHeight="251660288" behindDoc="0" locked="0" layoutInCell="1" allowOverlap="1" wp14:anchorId="5E0F87DE" wp14:editId="5A8219FC">
                <wp:simplePos x="0" y="0"/>
                <wp:positionH relativeFrom="margin">
                  <wp:posOffset>-209550</wp:posOffset>
                </wp:positionH>
                <wp:positionV relativeFrom="paragraph">
                  <wp:posOffset>93345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9"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87DE" id="_x0000_t202" coordsize="21600,21600" o:spt="202" path="m,l,21600r21600,l21600,xe">
                <v:stroke joinstyle="miter"/>
                <v:path gradientshapeok="t" o:connecttype="rect"/>
              </v:shapetype>
              <v:shape id="Text Box 3" o:spid="_x0000_s1026" type="#_x0000_t202" style="position:absolute;left:0;text-align:left;margin-left:-16.5pt;margin-top:7.35pt;width:161.5pt;height: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GUWl84wAAAA4BAAAPAAAAAAAAAAAAAAAAADsEAABkcnMvZG93bnJldi54&#13;&#10;bWxQSwUGAAAAAAQABADzAAAASwUAAAAA&#13;&#10;" stroked="f">
                <v:path arrowok="t"/>
                <v:textbo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10"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v:textbox>
                <w10:wrap type="tight" anchorx="margin"/>
              </v:shape>
            </w:pict>
          </mc:Fallback>
        </mc:AlternateContent>
      </w:r>
    </w:p>
    <w:p w14:paraId="4F9C3887" w14:textId="3270DE21" w:rsidR="00C241EF" w:rsidRDefault="00C241EF" w:rsidP="00C241EF"/>
    <w:p w14:paraId="37316B62" w14:textId="77777777" w:rsidR="00C241EF" w:rsidRDefault="00C241EF" w:rsidP="00C241EF"/>
    <w:p w14:paraId="1B84A809" w14:textId="1F7B206B" w:rsidR="00C241EF" w:rsidRPr="00154F8E" w:rsidRDefault="00184FA8" w:rsidP="00184FA8">
      <w:pPr>
        <w:pStyle w:val="Subtitle"/>
        <w:ind w:left="0"/>
        <w:rPr>
          <w:rFonts w:ascii="Times New Roman" w:hAnsi="Times New Roman"/>
          <w:b/>
          <w:u w:val="none"/>
        </w:rPr>
      </w:pPr>
      <w:r>
        <w:rPr>
          <w:rFonts w:ascii="Times New Roman" w:hAnsi="Times New Roman"/>
          <w:b/>
          <w:u w:val="none"/>
        </w:rPr>
        <w:t xml:space="preserve">        </w:t>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8B5F87">
        <w:rPr>
          <w:rFonts w:ascii="Times New Roman" w:hAnsi="Times New Roman"/>
          <w:b/>
          <w:u w:val="none"/>
        </w:rPr>
        <w:t xml:space="preserve">      </w:t>
      </w:r>
      <w:r>
        <w:rPr>
          <w:rFonts w:ascii="Times New Roman" w:hAnsi="Times New Roman"/>
          <w:b/>
          <w:u w:val="none"/>
        </w:rPr>
        <w:t>T</w:t>
      </w:r>
      <w:r w:rsidR="00C241EF" w:rsidRPr="00154F8E">
        <w:rPr>
          <w:rFonts w:ascii="Times New Roman" w:hAnsi="Times New Roman"/>
          <w:b/>
          <w:u w:val="none"/>
        </w:rPr>
        <w:t>estimony of the</w:t>
      </w:r>
    </w:p>
    <w:p w14:paraId="4B2F2DB2" w14:textId="53A4E5B0" w:rsidR="00C241EF" w:rsidRPr="00154F8E" w:rsidRDefault="008B5F87" w:rsidP="00607119">
      <w:pPr>
        <w:pStyle w:val="Subtitle"/>
        <w:ind w:left="2160" w:firstLine="720"/>
        <w:rPr>
          <w:rFonts w:ascii="Times New Roman" w:hAnsi="Times New Roman"/>
          <w:b/>
          <w:u w:val="none"/>
        </w:rPr>
      </w:pPr>
      <w:r>
        <w:rPr>
          <w:rFonts w:ascii="Times New Roman" w:hAnsi="Times New Roman"/>
          <w:b/>
          <w:u w:val="none"/>
        </w:rPr>
        <w:t xml:space="preserve">    </w:t>
      </w:r>
      <w:r w:rsidR="00C241EF" w:rsidRPr="00154F8E">
        <w:rPr>
          <w:rFonts w:ascii="Times New Roman" w:hAnsi="Times New Roman"/>
          <w:b/>
          <w:u w:val="none"/>
        </w:rPr>
        <w:t xml:space="preserve">D.C. Open Government Coalition </w:t>
      </w:r>
    </w:p>
    <w:p w14:paraId="6BF8E9FE" w14:textId="77777777" w:rsidR="00C241EF" w:rsidRPr="00154F8E" w:rsidRDefault="00C241EF" w:rsidP="00C241EF">
      <w:pPr>
        <w:jc w:val="center"/>
      </w:pPr>
    </w:p>
    <w:p w14:paraId="4735976E" w14:textId="77777777" w:rsidR="00C241EF" w:rsidRPr="00154F8E" w:rsidRDefault="00C241EF" w:rsidP="00C241EF">
      <w:pPr>
        <w:jc w:val="center"/>
      </w:pPr>
      <w:r w:rsidRPr="00154F8E">
        <w:t>by</w:t>
      </w:r>
    </w:p>
    <w:p w14:paraId="6DFF2F00" w14:textId="77777777" w:rsidR="00C241EF" w:rsidRPr="00154F8E" w:rsidRDefault="00C241EF" w:rsidP="00C241EF">
      <w:pPr>
        <w:jc w:val="center"/>
      </w:pPr>
    </w:p>
    <w:p w14:paraId="71BAFD3F" w14:textId="77777777" w:rsidR="00C241EF" w:rsidRPr="002C36B9" w:rsidRDefault="00C241EF" w:rsidP="00C241EF">
      <w:pPr>
        <w:ind w:left="-360" w:firstLine="360"/>
        <w:jc w:val="center"/>
        <w:rPr>
          <w:b/>
          <w:bCs/>
        </w:rPr>
      </w:pPr>
      <w:r w:rsidRPr="002C36B9">
        <w:rPr>
          <w:b/>
          <w:bCs/>
        </w:rPr>
        <w:t>Fritz Mulhauser</w:t>
      </w:r>
    </w:p>
    <w:p w14:paraId="2D92499B" w14:textId="77777777" w:rsidR="00C241EF" w:rsidRPr="00154F8E" w:rsidRDefault="00C241EF" w:rsidP="00C241EF">
      <w:pPr>
        <w:jc w:val="center"/>
      </w:pPr>
      <w:r w:rsidRPr="00154F8E">
        <w:t xml:space="preserve">Co-Chair, Coalition Legal Committee </w:t>
      </w:r>
    </w:p>
    <w:p w14:paraId="601E928D" w14:textId="77777777" w:rsidR="00C241EF" w:rsidRPr="00154F8E" w:rsidRDefault="00C241EF" w:rsidP="00C241EF">
      <w:pPr>
        <w:jc w:val="center"/>
      </w:pPr>
    </w:p>
    <w:p w14:paraId="0FE923DC" w14:textId="77777777" w:rsidR="00C241EF" w:rsidRPr="00154F8E" w:rsidRDefault="00C241EF" w:rsidP="00C241EF">
      <w:pPr>
        <w:jc w:val="center"/>
        <w:rPr>
          <w:b/>
          <w:bCs/>
        </w:rPr>
      </w:pPr>
      <w:r w:rsidRPr="00154F8E">
        <w:t>Before the</w:t>
      </w:r>
    </w:p>
    <w:p w14:paraId="7E117354" w14:textId="6610E543" w:rsidR="00C241EF" w:rsidRDefault="00C241EF" w:rsidP="00C241EF">
      <w:pPr>
        <w:jc w:val="center"/>
        <w:rPr>
          <w:bCs/>
        </w:rPr>
      </w:pPr>
      <w:r w:rsidRPr="00154F8E">
        <w:rPr>
          <w:bCs/>
        </w:rPr>
        <w:t>Council of the District of Columbia</w:t>
      </w:r>
      <w:r>
        <w:rPr>
          <w:bCs/>
        </w:rPr>
        <w:t xml:space="preserve">, </w:t>
      </w:r>
      <w:r w:rsidRPr="00154F8E">
        <w:rPr>
          <w:bCs/>
        </w:rPr>
        <w:t xml:space="preserve">Committee on </w:t>
      </w:r>
      <w:r w:rsidR="008C1623">
        <w:rPr>
          <w:bCs/>
        </w:rPr>
        <w:t>Public Works &amp; Operations</w:t>
      </w:r>
      <w:r w:rsidRPr="00154F8E">
        <w:rPr>
          <w:bCs/>
        </w:rPr>
        <w:t xml:space="preserve"> </w:t>
      </w:r>
    </w:p>
    <w:p w14:paraId="7E82577F" w14:textId="77777777" w:rsidR="00C241EF" w:rsidRPr="00154F8E" w:rsidRDefault="00C241EF" w:rsidP="00C241EF">
      <w:pPr>
        <w:jc w:val="center"/>
        <w:rPr>
          <w:bCs/>
        </w:rPr>
      </w:pPr>
    </w:p>
    <w:p w14:paraId="6963983F" w14:textId="32DC0243" w:rsidR="00C241EF" w:rsidRPr="00EC209D" w:rsidRDefault="00C241EF" w:rsidP="00C241EF">
      <w:pPr>
        <w:jc w:val="center"/>
      </w:pPr>
      <w:r>
        <w:t>FY 2</w:t>
      </w:r>
      <w:r w:rsidR="005950FB">
        <w:t>4</w:t>
      </w:r>
      <w:r>
        <w:t xml:space="preserve"> </w:t>
      </w:r>
      <w:r w:rsidR="005950FB">
        <w:t xml:space="preserve">Budget Oversight </w:t>
      </w:r>
      <w:r>
        <w:t xml:space="preserve">– </w:t>
      </w:r>
      <w:r w:rsidR="008C1623">
        <w:t xml:space="preserve">Office of the Chief Technology Officer </w:t>
      </w:r>
      <w:r>
        <w:t xml:space="preserve">   </w:t>
      </w:r>
    </w:p>
    <w:p w14:paraId="2CD4A57E" w14:textId="77777777" w:rsidR="00C241EF" w:rsidRPr="00EC209D" w:rsidRDefault="00C241EF" w:rsidP="00C241EF">
      <w:pPr>
        <w:jc w:val="center"/>
      </w:pPr>
    </w:p>
    <w:p w14:paraId="74DDAF3B" w14:textId="433A2CEC" w:rsidR="00C241EF" w:rsidRDefault="005950FB" w:rsidP="00963229">
      <w:pPr>
        <w:pBdr>
          <w:bottom w:val="single" w:sz="12" w:space="0" w:color="auto"/>
        </w:pBdr>
        <w:jc w:val="center"/>
      </w:pPr>
      <w:r>
        <w:t>April 3</w:t>
      </w:r>
      <w:r w:rsidR="008C1623">
        <w:t>,</w:t>
      </w:r>
      <w:r w:rsidR="00C241EF">
        <w:t xml:space="preserve"> 2023 </w:t>
      </w:r>
    </w:p>
    <w:p w14:paraId="7798702D" w14:textId="77777777" w:rsidR="00C241EF" w:rsidRDefault="00C241EF" w:rsidP="00963229">
      <w:pPr>
        <w:pBdr>
          <w:bottom w:val="single" w:sz="12" w:space="0" w:color="auto"/>
        </w:pBdr>
        <w:jc w:val="center"/>
      </w:pPr>
    </w:p>
    <w:p w14:paraId="2E147765" w14:textId="77777777" w:rsidR="00C241EF" w:rsidRPr="00E07413" w:rsidRDefault="00C241EF" w:rsidP="00C241EF">
      <w:pPr>
        <w:jc w:val="center"/>
      </w:pPr>
    </w:p>
    <w:p w14:paraId="0A065A2A" w14:textId="0231F146" w:rsidR="00300302" w:rsidRDefault="00C241EF" w:rsidP="008C1623">
      <w:pPr>
        <w:spacing w:line="240" w:lineRule="auto"/>
        <w:ind w:left="14" w:hanging="14"/>
        <w:contextualSpacing/>
      </w:pPr>
      <w:r w:rsidRPr="008824F7">
        <w:t xml:space="preserve">Thank you for the opportunity to provide views on the </w:t>
      </w:r>
      <w:r w:rsidR="005950FB">
        <w:t xml:space="preserve">budget of the </w:t>
      </w:r>
      <w:r w:rsidR="008C1623">
        <w:t>Office of the Chief Technology Officer</w:t>
      </w:r>
      <w:r w:rsidR="005950FB">
        <w:t xml:space="preserve"> (OCTO). The agency’s $90 million request for FY24 will fund the people and systems needed to support and defend the modern technology that is used in every corner of 21st century urban government and that is beset by millions of threats each month.  </w:t>
      </w:r>
    </w:p>
    <w:p w14:paraId="77772D5E" w14:textId="77777777" w:rsidR="00300302" w:rsidRDefault="00300302" w:rsidP="008C1623">
      <w:pPr>
        <w:spacing w:line="240" w:lineRule="auto"/>
        <w:ind w:left="14" w:hanging="14"/>
        <w:contextualSpacing/>
      </w:pPr>
    </w:p>
    <w:p w14:paraId="48DBFA4B" w14:textId="0CC8CF7B" w:rsidR="00300302" w:rsidRDefault="00300302" w:rsidP="00300302">
      <w:pPr>
        <w:spacing w:line="240" w:lineRule="auto"/>
        <w:ind w:left="14" w:hanging="14"/>
        <w:contextualSpacing/>
      </w:pPr>
      <w:r>
        <w:t xml:space="preserve">It’s </w:t>
      </w:r>
      <w:r w:rsidR="00BE0ECA">
        <w:t xml:space="preserve">crucial </w:t>
      </w:r>
      <w:r w:rsidR="008C1623">
        <w:t xml:space="preserve">to the </w:t>
      </w:r>
      <w:r w:rsidR="00BE0ECA">
        <w:t xml:space="preserve">public access to </w:t>
      </w:r>
      <w:r w:rsidR="005950FB">
        <w:t>open records</w:t>
      </w:r>
      <w:r w:rsidR="005950FB">
        <w:t>,</w:t>
      </w:r>
      <w:r w:rsidR="005950FB">
        <w:t xml:space="preserve"> open meetings</w:t>
      </w:r>
      <w:r w:rsidR="005950FB">
        <w:t>, and</w:t>
      </w:r>
      <w:r w:rsidR="005950FB">
        <w:t xml:space="preserve"> </w:t>
      </w:r>
      <w:r w:rsidR="008C1623">
        <w:t>open data</w:t>
      </w:r>
      <w:r w:rsidR="005950FB">
        <w:t xml:space="preserve"> </w:t>
      </w:r>
      <w:r w:rsidR="008C1623">
        <w:t xml:space="preserve">that are our </w:t>
      </w:r>
      <w:r w:rsidR="005950FB">
        <w:t xml:space="preserve">Coalition’s </w:t>
      </w:r>
      <w:r w:rsidR="008C1623">
        <w:t>focus</w:t>
      </w:r>
      <w:r>
        <w:t xml:space="preserve">. But </w:t>
      </w:r>
      <w:r w:rsidR="00BE0ECA">
        <w:t xml:space="preserve">even more </w:t>
      </w:r>
      <w:r w:rsidR="00FB2396">
        <w:t xml:space="preserve">crucial </w:t>
      </w:r>
      <w:r w:rsidR="00BE0ECA">
        <w:t xml:space="preserve">to the delivery of a wide range of </w:t>
      </w:r>
      <w:r w:rsidR="005950FB">
        <w:t xml:space="preserve">essential </w:t>
      </w:r>
      <w:r w:rsidR="00BE0ECA">
        <w:t>services</w:t>
      </w:r>
      <w:r w:rsidR="005950FB">
        <w:t xml:space="preserve"> and benefits</w:t>
      </w:r>
      <w:r>
        <w:t xml:space="preserve">, </w:t>
      </w:r>
      <w:r w:rsidR="005950FB">
        <w:t xml:space="preserve">a vivid lesson </w:t>
      </w:r>
      <w:r>
        <w:t>everyone learned in the stay-at-home years of COVID-19.</w:t>
      </w:r>
    </w:p>
    <w:p w14:paraId="26505C04" w14:textId="77777777" w:rsidR="00300302" w:rsidRDefault="00300302" w:rsidP="00300302">
      <w:pPr>
        <w:spacing w:line="240" w:lineRule="auto"/>
        <w:ind w:left="14" w:hanging="14"/>
        <w:contextualSpacing/>
      </w:pPr>
    </w:p>
    <w:p w14:paraId="29732C31" w14:textId="6BE2E247" w:rsidR="00C14DC5" w:rsidRDefault="005950FB" w:rsidP="00C14DC5">
      <w:pPr>
        <w:spacing w:line="240" w:lineRule="auto"/>
        <w:ind w:left="14" w:hanging="14"/>
        <w:contextualSpacing/>
      </w:pPr>
      <w:r>
        <w:t xml:space="preserve">A huge share of the agency work is driven by demands from “client” agencies—who in turn define the publics to be served and the metrics defining good service. But it’s impossible in the budget to discern if there are resources </w:t>
      </w:r>
      <w:r w:rsidRPr="005950FB">
        <w:rPr>
          <w:u w:val="single"/>
        </w:rPr>
        <w:t>also</w:t>
      </w:r>
      <w:r>
        <w:t xml:space="preserve"> to address citywide issues, where technically capable leadership is crucial to avoid a race to the bottom as agencies too often use their discretion to save money on politically invisible and unsung tech details</w:t>
      </w:r>
      <w:r w:rsidR="00C14DC5">
        <w:t xml:space="preserve">. </w:t>
      </w:r>
      <w:r w:rsidR="00C14DC5">
        <w:t>Areas of our concern include:</w:t>
      </w:r>
    </w:p>
    <w:p w14:paraId="21B9B4C0" w14:textId="42730A80" w:rsidR="005950FB" w:rsidRDefault="005950FB" w:rsidP="00300302">
      <w:pPr>
        <w:spacing w:line="240" w:lineRule="auto"/>
        <w:ind w:left="14" w:hanging="14"/>
        <w:contextualSpacing/>
      </w:pPr>
    </w:p>
    <w:p w14:paraId="0DB21929" w14:textId="6AC39ADE" w:rsidR="005950FB" w:rsidRDefault="005950FB" w:rsidP="005950FB">
      <w:pPr>
        <w:pStyle w:val="ListParagraph"/>
        <w:numPr>
          <w:ilvl w:val="0"/>
          <w:numId w:val="7"/>
        </w:numPr>
        <w:spacing w:line="240" w:lineRule="auto"/>
        <w:ind w:left="360"/>
      </w:pPr>
      <w:r>
        <w:t>FOIA compliance including email storage, search, capture of ephemeral messages</w:t>
      </w:r>
      <w:r w:rsidR="00C14DC5">
        <w:t>,</w:t>
      </w:r>
      <w:r w:rsidRPr="005950FB">
        <w:t xml:space="preserve"> </w:t>
      </w:r>
      <w:r>
        <w:t>as well as p</w:t>
      </w:r>
      <w:r>
        <w:t xml:space="preserve">ublishing of </w:t>
      </w:r>
      <w:r>
        <w:t>agency materials mandated by E-FOIA</w:t>
      </w:r>
    </w:p>
    <w:p w14:paraId="2EA12EA2" w14:textId="75540548" w:rsidR="005950FB" w:rsidRDefault="005950FB" w:rsidP="005950FB">
      <w:pPr>
        <w:pStyle w:val="ListParagraph"/>
        <w:numPr>
          <w:ilvl w:val="0"/>
          <w:numId w:val="7"/>
        </w:numPr>
        <w:spacing w:line="240" w:lineRule="auto"/>
        <w:ind w:left="360"/>
      </w:pPr>
      <w:r>
        <w:t xml:space="preserve">Setting policy and schedule for digitizing records </w:t>
      </w:r>
      <w:r w:rsidR="00C14DC5">
        <w:t>government-wide</w:t>
      </w:r>
    </w:p>
    <w:p w14:paraId="04CD81A8" w14:textId="58F5776A" w:rsidR="005950FB" w:rsidRDefault="005950FB" w:rsidP="005950FB">
      <w:pPr>
        <w:pStyle w:val="ListParagraph"/>
        <w:numPr>
          <w:ilvl w:val="0"/>
          <w:numId w:val="7"/>
        </w:numPr>
        <w:spacing w:line="240" w:lineRule="auto"/>
        <w:ind w:left="360"/>
      </w:pPr>
      <w:r>
        <w:t>Planning for a 21</w:t>
      </w:r>
      <w:r w:rsidRPr="005950FB">
        <w:rPr>
          <w:vertAlign w:val="superscript"/>
        </w:rPr>
        <w:t>st</w:t>
      </w:r>
      <w:r>
        <w:t xml:space="preserve"> century archive</w:t>
      </w:r>
    </w:p>
    <w:p w14:paraId="7FDF18C4" w14:textId="0ECC650C" w:rsidR="005950FB" w:rsidRDefault="005950FB" w:rsidP="005950FB">
      <w:pPr>
        <w:pStyle w:val="ListParagraph"/>
        <w:numPr>
          <w:ilvl w:val="0"/>
          <w:numId w:val="7"/>
        </w:numPr>
        <w:spacing w:line="240" w:lineRule="auto"/>
        <w:ind w:left="360"/>
      </w:pPr>
      <w:r>
        <w:t>Data management for public access and data-sharing within and outside government</w:t>
      </w:r>
    </w:p>
    <w:p w14:paraId="782CB94A" w14:textId="69BEF36E" w:rsidR="005950FB" w:rsidRDefault="005950FB" w:rsidP="005950FB">
      <w:pPr>
        <w:pStyle w:val="ListParagraph"/>
        <w:numPr>
          <w:ilvl w:val="0"/>
          <w:numId w:val="7"/>
        </w:numPr>
        <w:spacing w:line="240" w:lineRule="auto"/>
        <w:ind w:left="360"/>
      </w:pPr>
      <w:r>
        <w:t>Connecting citizens with their government through advanced participation tools</w:t>
      </w:r>
    </w:p>
    <w:p w14:paraId="455177EB" w14:textId="77777777" w:rsidR="00C14DC5" w:rsidRDefault="00C14DC5" w:rsidP="00C14DC5">
      <w:pPr>
        <w:spacing w:line="240" w:lineRule="auto"/>
        <w:ind w:left="0" w:firstLine="0"/>
      </w:pPr>
    </w:p>
    <w:p w14:paraId="4682109E" w14:textId="52669AE7" w:rsidR="005950FB" w:rsidRDefault="005950FB" w:rsidP="00C14DC5">
      <w:pPr>
        <w:spacing w:line="240" w:lineRule="auto"/>
        <w:ind w:left="0" w:firstLine="0"/>
      </w:pPr>
      <w:r>
        <w:t>As the committee reviews the budget, we ask that resources to address these be assured.</w:t>
      </w:r>
    </w:p>
    <w:p w14:paraId="5C71F086" w14:textId="0C3EE4ED" w:rsidR="005950FB" w:rsidRDefault="005950FB" w:rsidP="00300302">
      <w:pPr>
        <w:spacing w:line="240" w:lineRule="auto"/>
        <w:ind w:left="14" w:hanging="14"/>
        <w:contextualSpacing/>
      </w:pPr>
      <w:r>
        <w:lastRenderedPageBreak/>
        <w:t xml:space="preserve"> </w:t>
      </w:r>
    </w:p>
    <w:p w14:paraId="1EA5F3C1" w14:textId="77777777" w:rsidR="005950FB" w:rsidRDefault="005950FB" w:rsidP="00300302">
      <w:pPr>
        <w:spacing w:line="240" w:lineRule="auto"/>
        <w:ind w:left="14" w:hanging="14"/>
        <w:contextualSpacing/>
      </w:pPr>
    </w:p>
    <w:p w14:paraId="0CA2BB17" w14:textId="3E8AFFFD" w:rsidR="008C1623" w:rsidRPr="00EC209D" w:rsidRDefault="00300302" w:rsidP="00300302">
      <w:pPr>
        <w:spacing w:line="240" w:lineRule="auto"/>
        <w:ind w:left="14" w:hanging="14"/>
        <w:contextualSpacing/>
      </w:pPr>
      <w:r>
        <w:t>A</w:t>
      </w:r>
      <w:r w:rsidR="00FB2396">
        <w:t>nd a</w:t>
      </w:r>
      <w:r>
        <w:t>s we have testified for several years, there is a missing conversation about legislative and executive m</w:t>
      </w:r>
      <w:r w:rsidR="00BE0ECA">
        <w:t>anag</w:t>
      </w:r>
      <w:r>
        <w:t>ement of</w:t>
      </w:r>
      <w:r w:rsidR="00BE0ECA">
        <w:t xml:space="preserve"> technology </w:t>
      </w:r>
      <w:r w:rsidR="005950FB">
        <w:t>that serves the public</w:t>
      </w:r>
      <w:r w:rsidR="00BE0ECA">
        <w:t xml:space="preserve">, considering economy, efficiency, security, </w:t>
      </w:r>
      <w:r w:rsidR="005950FB">
        <w:t>reliability,</w:t>
      </w:r>
      <w:r>
        <w:t xml:space="preserve"> and the all-important user experience.</w:t>
      </w:r>
      <w:r w:rsidR="005950FB">
        <w:t xml:space="preserve"> For greater focus and emphasis on technology that directly serves the public, we recommended an Office of Electronic Government with statutory authority to set standards citywide.</w:t>
      </w:r>
      <w:r>
        <w:rPr>
          <w:rStyle w:val="EndnoteReference"/>
        </w:rPr>
        <w:endnoteReference w:id="1"/>
      </w:r>
      <w:r>
        <w:t xml:space="preserve"> </w:t>
      </w:r>
      <w:r w:rsidR="00062C42">
        <w:t>Agency-by-agency review isn’t enough; we</w:t>
      </w:r>
      <w:r>
        <w:t xml:space="preserve"> commend such a deep dive </w:t>
      </w:r>
      <w:r w:rsidR="00C14DC5" w:rsidRPr="00C14DC5">
        <w:t>for the committee in coming months</w:t>
      </w:r>
      <w:r w:rsidR="00C14DC5" w:rsidRPr="00C14DC5">
        <w:t xml:space="preserve"> </w:t>
      </w:r>
      <w:r w:rsidR="00C14DC5">
        <w:t>to consider possible legislation</w:t>
      </w:r>
      <w:r w:rsidR="00062C42">
        <w:t xml:space="preserve">, powered by the many requests in last year’s OCTO budget report for </w:t>
      </w:r>
      <w:r w:rsidR="005950FB">
        <w:t>follow-up</w:t>
      </w:r>
      <w:r w:rsidR="00062C42">
        <w:t xml:space="preserve"> information to allow the committee’s thoughtful oversight. </w:t>
      </w:r>
    </w:p>
    <w:p w14:paraId="59F00818" w14:textId="77777777" w:rsidR="008C1623" w:rsidRPr="00EC209D" w:rsidRDefault="008C1623" w:rsidP="008C1623">
      <w:pPr>
        <w:jc w:val="center"/>
      </w:pPr>
    </w:p>
    <w:p w14:paraId="1B84C003" w14:textId="79D8843C" w:rsidR="008C1623" w:rsidRDefault="005950FB" w:rsidP="00C14DC5">
      <w:pPr>
        <w:spacing w:line="240" w:lineRule="auto"/>
        <w:contextualSpacing/>
      </w:pPr>
      <w:r>
        <w:t xml:space="preserve">Further details of selected areas of our concern are in the attached appendix—FOIA issues, digitizing records, and the archives project. We look forward to the regular conversations with OCTO staff that officials have arranged, beginning this month, so we can explore these further. </w:t>
      </w:r>
    </w:p>
    <w:p w14:paraId="367CA894" w14:textId="77777777" w:rsidR="00062C42" w:rsidRDefault="00062C42" w:rsidP="00C14DC5">
      <w:pPr>
        <w:spacing w:line="240" w:lineRule="auto"/>
        <w:ind w:left="360" w:firstLine="0"/>
        <w:contextualSpacing/>
        <w:rPr>
          <w:b/>
          <w:bCs/>
          <w:u w:val="single"/>
        </w:rPr>
      </w:pPr>
    </w:p>
    <w:p w14:paraId="4F571B6E" w14:textId="6B5B2E5E" w:rsidR="00062C42" w:rsidRDefault="00062C42" w:rsidP="00C14DC5">
      <w:pPr>
        <w:ind w:left="360" w:firstLine="0"/>
        <w:jc w:val="center"/>
        <w:rPr>
          <w:b/>
          <w:bCs/>
          <w:u w:val="single"/>
        </w:rPr>
      </w:pPr>
    </w:p>
    <w:p w14:paraId="10F5ED6F" w14:textId="77777777" w:rsidR="00C241EF" w:rsidRDefault="00C241EF" w:rsidP="002C36B9">
      <w:pPr>
        <w:spacing w:line="240" w:lineRule="auto"/>
        <w:ind w:left="14" w:hanging="14"/>
        <w:contextualSpacing/>
      </w:pPr>
    </w:p>
    <w:p w14:paraId="4A233A94" w14:textId="448B1290" w:rsidR="002C36B9" w:rsidRDefault="002C36B9"/>
    <w:p w14:paraId="4DDCA2BB" w14:textId="5270D74B" w:rsidR="002C36B9" w:rsidRDefault="002C36B9" w:rsidP="00C14DC5">
      <w:r w:rsidRPr="002C36B9">
        <w:t xml:space="preserve">For any questions, reach me at: </w:t>
      </w:r>
      <w:hyperlink r:id="rId11" w:history="1">
        <w:r w:rsidRPr="002C36B9">
          <w:rPr>
            <w:rStyle w:val="Hyperlink"/>
          </w:rPr>
          <w:t>fmulhauser@aol.com</w:t>
        </w:r>
      </w:hyperlink>
      <w:r w:rsidRPr="002C36B9">
        <w:t xml:space="preserve"> or 202-550-41</w:t>
      </w:r>
      <w:r w:rsidR="00C14DC5">
        <w:t>41.</w:t>
      </w:r>
    </w:p>
    <w:p w14:paraId="77F8CE63" w14:textId="77777777" w:rsidR="00C14DC5" w:rsidRDefault="00C14DC5" w:rsidP="00C14DC5"/>
    <w:p w14:paraId="5730B043" w14:textId="77777777" w:rsidR="00C14DC5" w:rsidRDefault="00C14DC5" w:rsidP="00C14DC5">
      <w:pPr>
        <w:ind w:left="0" w:firstLine="0"/>
      </w:pPr>
    </w:p>
    <w:p w14:paraId="7072F7D1" w14:textId="77777777" w:rsidR="00380BC5" w:rsidRDefault="00380BC5" w:rsidP="007D07F5">
      <w:pPr>
        <w:spacing w:line="240" w:lineRule="auto"/>
        <w:ind w:left="14" w:hanging="14"/>
        <w:rPr>
          <w:sz w:val="22"/>
          <w:szCs w:val="22"/>
        </w:rPr>
      </w:pPr>
    </w:p>
    <w:p w14:paraId="0A2B03B1" w14:textId="77777777" w:rsidR="00C14DC5" w:rsidRDefault="00C14DC5" w:rsidP="007D07F5">
      <w:pPr>
        <w:spacing w:line="240" w:lineRule="auto"/>
        <w:ind w:left="14" w:hanging="14"/>
        <w:rPr>
          <w:sz w:val="22"/>
          <w:szCs w:val="22"/>
        </w:rPr>
      </w:pPr>
    </w:p>
    <w:p w14:paraId="469D1FCA" w14:textId="77777777" w:rsidR="00C14DC5" w:rsidRDefault="00C14DC5" w:rsidP="007D07F5">
      <w:pPr>
        <w:spacing w:line="240" w:lineRule="auto"/>
        <w:ind w:left="14" w:hanging="14"/>
        <w:rPr>
          <w:sz w:val="22"/>
          <w:szCs w:val="22"/>
        </w:rPr>
      </w:pPr>
    </w:p>
    <w:p w14:paraId="73ED271E" w14:textId="77777777" w:rsidR="00C14DC5" w:rsidRDefault="00C14DC5" w:rsidP="007D07F5">
      <w:pPr>
        <w:spacing w:line="240" w:lineRule="auto"/>
        <w:ind w:left="14" w:hanging="14"/>
        <w:rPr>
          <w:sz w:val="22"/>
          <w:szCs w:val="22"/>
        </w:rPr>
      </w:pPr>
    </w:p>
    <w:p w14:paraId="3950A6B7" w14:textId="77777777" w:rsidR="00C14DC5" w:rsidRDefault="00C14DC5" w:rsidP="007D07F5">
      <w:pPr>
        <w:spacing w:line="240" w:lineRule="auto"/>
        <w:ind w:left="14" w:hanging="14"/>
        <w:rPr>
          <w:sz w:val="22"/>
          <w:szCs w:val="22"/>
        </w:rPr>
      </w:pPr>
    </w:p>
    <w:p w14:paraId="57E7E07F" w14:textId="77777777" w:rsidR="00C14DC5" w:rsidRDefault="00C14DC5" w:rsidP="007D07F5">
      <w:pPr>
        <w:spacing w:line="240" w:lineRule="auto"/>
        <w:ind w:left="14" w:hanging="14"/>
        <w:rPr>
          <w:sz w:val="22"/>
          <w:szCs w:val="22"/>
        </w:rPr>
      </w:pPr>
    </w:p>
    <w:p w14:paraId="05BBAF95" w14:textId="77777777" w:rsidR="00C14DC5" w:rsidRDefault="00C14DC5" w:rsidP="007D07F5">
      <w:pPr>
        <w:spacing w:line="240" w:lineRule="auto"/>
        <w:ind w:left="14" w:hanging="14"/>
        <w:rPr>
          <w:sz w:val="22"/>
          <w:szCs w:val="22"/>
        </w:rPr>
      </w:pPr>
    </w:p>
    <w:p w14:paraId="4D9365AB" w14:textId="77777777" w:rsidR="00C14DC5" w:rsidRDefault="00C14DC5" w:rsidP="007D07F5">
      <w:pPr>
        <w:spacing w:line="240" w:lineRule="auto"/>
        <w:ind w:left="14" w:hanging="14"/>
        <w:rPr>
          <w:sz w:val="22"/>
          <w:szCs w:val="22"/>
        </w:rPr>
      </w:pPr>
    </w:p>
    <w:p w14:paraId="423C3EBF" w14:textId="77777777" w:rsidR="00C14DC5" w:rsidRDefault="00C14DC5" w:rsidP="007D07F5">
      <w:pPr>
        <w:spacing w:line="240" w:lineRule="auto"/>
        <w:ind w:left="14" w:hanging="14"/>
        <w:rPr>
          <w:sz w:val="22"/>
          <w:szCs w:val="22"/>
        </w:rPr>
      </w:pPr>
    </w:p>
    <w:p w14:paraId="60570CE9" w14:textId="77777777" w:rsidR="00C14DC5" w:rsidRDefault="00C14DC5" w:rsidP="007D07F5">
      <w:pPr>
        <w:spacing w:line="240" w:lineRule="auto"/>
        <w:ind w:left="14" w:hanging="14"/>
        <w:rPr>
          <w:sz w:val="22"/>
          <w:szCs w:val="22"/>
        </w:rPr>
      </w:pPr>
    </w:p>
    <w:p w14:paraId="70DCAEA9" w14:textId="77777777" w:rsidR="00C14DC5" w:rsidRDefault="00C14DC5" w:rsidP="007D07F5">
      <w:pPr>
        <w:spacing w:line="240" w:lineRule="auto"/>
        <w:ind w:left="14" w:hanging="14"/>
        <w:rPr>
          <w:sz w:val="22"/>
          <w:szCs w:val="22"/>
        </w:rPr>
      </w:pPr>
    </w:p>
    <w:p w14:paraId="042803D1" w14:textId="49530FFA" w:rsidR="00C14DC5" w:rsidRPr="00C14DC5" w:rsidRDefault="00C14DC5" w:rsidP="007D07F5">
      <w:pPr>
        <w:spacing w:line="240" w:lineRule="auto"/>
        <w:ind w:left="14" w:hanging="14"/>
        <w:rPr>
          <w:b/>
          <w:bCs/>
          <w:sz w:val="22"/>
          <w:szCs w:val="22"/>
        </w:rPr>
      </w:pPr>
      <w:r w:rsidRPr="00C14DC5">
        <w:rPr>
          <w:b/>
          <w:bCs/>
          <w:sz w:val="22"/>
          <w:szCs w:val="22"/>
        </w:rPr>
        <w:t>________________________________________________________________________________________</w:t>
      </w:r>
    </w:p>
    <w:p w14:paraId="316096A5" w14:textId="77777777" w:rsidR="00C14DC5" w:rsidRDefault="00C14DC5" w:rsidP="00C14DC5">
      <w:pPr>
        <w:spacing w:line="240" w:lineRule="auto"/>
        <w:ind w:left="0" w:firstLine="0"/>
        <w:rPr>
          <w:sz w:val="22"/>
          <w:szCs w:val="22"/>
        </w:rPr>
      </w:pPr>
    </w:p>
    <w:p w14:paraId="39D92899" w14:textId="2B978FC3" w:rsidR="002C36B9" w:rsidRPr="00C14DC5" w:rsidRDefault="002C36B9" w:rsidP="007D07F5">
      <w:pPr>
        <w:spacing w:line="240" w:lineRule="auto"/>
        <w:ind w:left="14" w:hanging="14"/>
        <w:rPr>
          <w:sz w:val="22"/>
          <w:szCs w:val="22"/>
        </w:rPr>
      </w:pPr>
      <w:r w:rsidRPr="00C14DC5">
        <w:rPr>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5AF73858" w14:textId="77777777" w:rsidR="002C36B9" w:rsidRPr="00C14DC5" w:rsidRDefault="002C36B9" w:rsidP="002C36B9">
      <w:pPr>
        <w:rPr>
          <w:sz w:val="22"/>
          <w:szCs w:val="22"/>
        </w:rPr>
      </w:pPr>
    </w:p>
    <w:p w14:paraId="59395BBD" w14:textId="77777777" w:rsidR="002C36B9" w:rsidRPr="00C14DC5" w:rsidRDefault="002C36B9" w:rsidP="007D07F5">
      <w:pPr>
        <w:spacing w:line="240" w:lineRule="auto"/>
        <w:ind w:left="14" w:hanging="14"/>
        <w:rPr>
          <w:sz w:val="22"/>
          <w:szCs w:val="22"/>
        </w:rPr>
      </w:pPr>
      <w:r w:rsidRPr="00C14DC5">
        <w:rPr>
          <w:sz w:val="22"/>
          <w:szCs w:val="22"/>
        </w:rPr>
        <w:t xml:space="preserve">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has no staff but does its work through the volunteer efforts of 13 directors, who include reporters, community activists, experts with open government institutions overseas and at the federal level, and attorneys in media law, nonprofit legal services, and criminal defense. The Coalition participates in a National Freedom of Information Coalition where advocates from dozens of states work together on common issues all are facing. </w:t>
      </w:r>
    </w:p>
    <w:p w14:paraId="2653ED24" w14:textId="77777777" w:rsidR="002C36B9" w:rsidRDefault="002C36B9"/>
    <w:p w14:paraId="5BF8B22A" w14:textId="0190C732" w:rsidR="005950FB" w:rsidRPr="005950FB" w:rsidRDefault="00C14DC5" w:rsidP="005950FB">
      <w:pPr>
        <w:jc w:val="center"/>
        <w:rPr>
          <w:b/>
          <w:bCs/>
          <w:u w:val="single"/>
        </w:rPr>
      </w:pPr>
      <w:r>
        <w:rPr>
          <w:b/>
          <w:bCs/>
          <w:u w:val="single"/>
        </w:rPr>
        <w:t>A</w:t>
      </w:r>
      <w:r w:rsidR="005950FB" w:rsidRPr="005950FB">
        <w:rPr>
          <w:b/>
          <w:bCs/>
          <w:u w:val="single"/>
        </w:rPr>
        <w:t>PPENDIX – Opportunities for OCTO Leadership</w:t>
      </w:r>
    </w:p>
    <w:p w14:paraId="6A7B295F" w14:textId="77777777" w:rsidR="005950FB" w:rsidRDefault="005950FB"/>
    <w:p w14:paraId="420ACCC6" w14:textId="4006D6C1" w:rsidR="005950FB" w:rsidRDefault="005950FB" w:rsidP="005950FB">
      <w:pPr>
        <w:pStyle w:val="ListParagraph"/>
        <w:numPr>
          <w:ilvl w:val="0"/>
          <w:numId w:val="6"/>
        </w:numPr>
        <w:ind w:left="360"/>
        <w:rPr>
          <w:b/>
          <w:bCs/>
          <w:u w:val="single"/>
        </w:rPr>
      </w:pPr>
      <w:r w:rsidRPr="00062C42">
        <w:rPr>
          <w:b/>
          <w:bCs/>
          <w:u w:val="single"/>
        </w:rPr>
        <w:t xml:space="preserve">FOIA </w:t>
      </w:r>
      <w:r>
        <w:rPr>
          <w:b/>
          <w:bCs/>
          <w:u w:val="single"/>
        </w:rPr>
        <w:t xml:space="preserve">in D.C. </w:t>
      </w:r>
      <w:r w:rsidRPr="00062C42">
        <w:rPr>
          <w:b/>
          <w:bCs/>
          <w:u w:val="single"/>
        </w:rPr>
        <w:t xml:space="preserve">has some key building blocks but needs work. </w:t>
      </w:r>
    </w:p>
    <w:p w14:paraId="3700712D" w14:textId="77777777" w:rsidR="005950FB" w:rsidRPr="00062C42" w:rsidRDefault="005950FB" w:rsidP="005950FB">
      <w:pPr>
        <w:pStyle w:val="ListParagraph"/>
        <w:ind w:left="360" w:firstLine="0"/>
        <w:rPr>
          <w:b/>
          <w:bCs/>
          <w:u w:val="single"/>
        </w:rPr>
      </w:pPr>
    </w:p>
    <w:p w14:paraId="4D8E1579" w14:textId="373A3565" w:rsidR="005950FB" w:rsidRDefault="005950FB" w:rsidP="005950FB">
      <w:pPr>
        <w:pStyle w:val="ListParagraph"/>
        <w:spacing w:after="0" w:line="240" w:lineRule="auto"/>
        <w:ind w:left="0" w:firstLine="0"/>
      </w:pPr>
      <w:r w:rsidRPr="000544E0">
        <w:t>The fact D</w:t>
      </w:r>
      <w:r>
        <w:t>.</w:t>
      </w:r>
      <w:r w:rsidRPr="000544E0">
        <w:t>C</w:t>
      </w:r>
      <w:r>
        <w:t>.</w:t>
      </w:r>
      <w:r w:rsidRPr="000544E0">
        <w:t xml:space="preserve"> has one system to track and manage FOIA requests across the government is commendable. Most state governments don</w:t>
      </w:r>
      <w:r>
        <w:t>’</w:t>
      </w:r>
      <w:r w:rsidRPr="000544E0">
        <w:t>t have a centralized system.</w:t>
      </w:r>
      <w:r>
        <w:t xml:space="preserve"> The central data </w:t>
      </w:r>
      <w:r>
        <w:t xml:space="preserve">now </w:t>
      </w:r>
      <w:r>
        <w:t xml:space="preserve">needs to be a resource as </w:t>
      </w:r>
      <w:r>
        <w:t>D.C.</w:t>
      </w:r>
      <w:r>
        <w:t xml:space="preserve"> work</w:t>
      </w:r>
      <w:r>
        <w:t>s</w:t>
      </w:r>
      <w:r>
        <w:t xml:space="preserve"> towards a </w:t>
      </w:r>
      <w:r>
        <w:rPr>
          <w:rStyle w:val="a"/>
        </w:rPr>
        <w:t xml:space="preserve">climate </w:t>
      </w:r>
      <w:r>
        <w:rPr>
          <w:rStyle w:val="a"/>
        </w:rPr>
        <w:t xml:space="preserve">among agencies </w:t>
      </w:r>
      <w:r>
        <w:rPr>
          <w:rStyle w:val="a"/>
        </w:rPr>
        <w:t xml:space="preserve">where evidence—empirical information—on </w:t>
      </w:r>
      <w:r>
        <w:rPr>
          <w:rStyle w:val="a"/>
        </w:rPr>
        <w:t xml:space="preserve">FOIA processing </w:t>
      </w:r>
      <w:r>
        <w:rPr>
          <w:rStyle w:val="a"/>
        </w:rPr>
        <w:t>is valued and seen as essential to good management</w:t>
      </w:r>
      <w:r>
        <w:t xml:space="preserve">. </w:t>
      </w:r>
    </w:p>
    <w:p w14:paraId="5EDAB3A6" w14:textId="77777777" w:rsidR="005950FB" w:rsidRPr="000843E4" w:rsidRDefault="005950FB" w:rsidP="005950FB">
      <w:pPr>
        <w:pStyle w:val="ListParagraph"/>
        <w:numPr>
          <w:ilvl w:val="0"/>
          <w:numId w:val="5"/>
        </w:numPr>
        <w:spacing w:after="0" w:line="240" w:lineRule="auto"/>
        <w:ind w:left="360"/>
        <w:rPr>
          <w:b/>
          <w:bCs/>
        </w:rPr>
      </w:pPr>
      <w:r w:rsidRPr="003C3435">
        <w:rPr>
          <w:b/>
          <w:bCs/>
        </w:rPr>
        <w:t>Data access</w:t>
      </w:r>
      <w:r>
        <w:t xml:space="preserve">. </w:t>
      </w:r>
      <w:r w:rsidRPr="000544E0">
        <w:t>O</w:t>
      </w:r>
      <w:r>
        <w:t xml:space="preserve">CTO has refused our requests for data from the online portal where users submit requests that are routed to 60+ agencies. Staff claim that a database is not subject to FOIA, </w:t>
      </w:r>
      <w:r w:rsidRPr="000544E0">
        <w:t>data in the system belong to user agencies not to OCTO</w:t>
      </w:r>
      <w:r>
        <w:t>, or that we’re asking for new records to be created</w:t>
      </w:r>
      <w:r w:rsidRPr="000544E0">
        <w:t xml:space="preserve">. </w:t>
      </w:r>
      <w:r>
        <w:t xml:space="preserve">(All are incorrect.) The </w:t>
      </w:r>
      <w:r w:rsidRPr="000544E0">
        <w:t>Mayor</w:t>
      </w:r>
      <w:r>
        <w:t>’</w:t>
      </w:r>
      <w:r w:rsidRPr="000544E0">
        <w:t xml:space="preserve">s </w:t>
      </w:r>
      <w:r>
        <w:t xml:space="preserve">Data Policy in </w:t>
      </w:r>
      <w:r w:rsidRPr="000544E0">
        <w:t>Order 2017-115 clearly gives OCTO a mandate for a centralized FOIA system</w:t>
      </w:r>
      <w:r>
        <w:t xml:space="preserve"> and public data on FOIA processing not just in the annual statutory report</w:t>
      </w:r>
      <w:r w:rsidRPr="000544E0">
        <w:t>. OCTO</w:t>
      </w:r>
      <w:r>
        <w:t>’</w:t>
      </w:r>
      <w:r w:rsidRPr="000544E0">
        <w:t>s response</w:t>
      </w:r>
      <w:r>
        <w:t>s</w:t>
      </w:r>
      <w:r w:rsidRPr="000544E0">
        <w:t xml:space="preserve"> to our request violate the spirit of the order and arguably the letter of the order.</w:t>
      </w:r>
      <w:r>
        <w:t xml:space="preserve"> Processing delay and backlogs soared during COVID-19, so the issue remains of public concern and performance data are key to analysis. We are in earnest discussions with OCTO leadership about these staff confusions and hope for the best.</w:t>
      </w:r>
    </w:p>
    <w:p w14:paraId="072AC857" w14:textId="77777777" w:rsidR="005950FB" w:rsidRDefault="005950FB" w:rsidP="005950FB">
      <w:pPr>
        <w:pStyle w:val="ListParagraph"/>
        <w:numPr>
          <w:ilvl w:val="0"/>
          <w:numId w:val="5"/>
        </w:numPr>
        <w:spacing w:after="0" w:line="240" w:lineRule="auto"/>
        <w:ind w:left="360"/>
      </w:pPr>
      <w:r w:rsidRPr="003C3435">
        <w:rPr>
          <w:b/>
          <w:bCs/>
        </w:rPr>
        <w:t>Portal review issues unresolved</w:t>
      </w:r>
      <w:r>
        <w:t>. We raised user concerns in a formal complaint to the Office of Open Government and their opinion raised many significant points.</w:t>
      </w:r>
      <w:r>
        <w:rPr>
          <w:rStyle w:val="EndnoteReference"/>
        </w:rPr>
        <w:endnoteReference w:id="2"/>
      </w:r>
      <w:r>
        <w:t xml:space="preserve"> F</w:t>
      </w:r>
      <w:r w:rsidRPr="000843E4">
        <w:t>ollow-</w:t>
      </w:r>
      <w:r>
        <w:t xml:space="preserve">up is needed on legal and performance aspects and again we’re in discussions we hope will lead to serious OCTO consideration. </w:t>
      </w:r>
    </w:p>
    <w:p w14:paraId="0F546DB4" w14:textId="7946B3F6" w:rsidR="005950FB" w:rsidRPr="000544E0" w:rsidRDefault="005950FB" w:rsidP="005950FB">
      <w:pPr>
        <w:pStyle w:val="ListParagraph"/>
        <w:numPr>
          <w:ilvl w:val="0"/>
          <w:numId w:val="5"/>
        </w:numPr>
        <w:spacing w:after="0" w:line="240" w:lineRule="auto"/>
        <w:ind w:left="360"/>
      </w:pPr>
      <w:r w:rsidRPr="00093DA7">
        <w:rPr>
          <w:b/>
          <w:bCs/>
        </w:rPr>
        <w:t>New portal?</w:t>
      </w:r>
      <w:r>
        <w:t xml:space="preserve"> </w:t>
      </w:r>
      <w:r w:rsidRPr="000544E0">
        <w:t xml:space="preserve">The technology used for the new </w:t>
      </w:r>
      <w:r>
        <w:t>b</w:t>
      </w:r>
      <w:r w:rsidRPr="000544E0">
        <w:t xml:space="preserve">usiness </w:t>
      </w:r>
      <w:r>
        <w:t>p</w:t>
      </w:r>
      <w:r w:rsidRPr="000544E0">
        <w:t>ortal</w:t>
      </w:r>
      <w:r>
        <w:t xml:space="preserve">,  </w:t>
      </w:r>
      <w:hyperlink r:id="rId12" w:history="1">
        <w:r w:rsidRPr="00A2477B">
          <w:rPr>
            <w:rStyle w:val="Hyperlink"/>
          </w:rPr>
          <w:t>https://corponline.dcra.dc.gov</w:t>
        </w:r>
      </w:hyperlink>
      <w:r>
        <w:t xml:space="preserve">, </w:t>
      </w:r>
      <w:r w:rsidRPr="000544E0">
        <w:t xml:space="preserve">could be used for a new and improved FOIA portal. OCTO interest in modernizing the system would be </w:t>
      </w:r>
      <w:r>
        <w:t>welcome.</w:t>
      </w:r>
      <w:r w:rsidRPr="000544E0">
        <w:t xml:space="preserve"> </w:t>
      </w:r>
      <w:r>
        <w:t xml:space="preserve">The </w:t>
      </w:r>
      <w:r w:rsidRPr="000544E0">
        <w:t>Open Government Coalition would be a</w:t>
      </w:r>
      <w:r>
        <w:t>n enthusiastic</w:t>
      </w:r>
      <w:r w:rsidRPr="000544E0">
        <w:t xml:space="preserve"> stakeholder if such a project were undertaken. </w:t>
      </w:r>
    </w:p>
    <w:p w14:paraId="3501396E" w14:textId="77777777" w:rsidR="005950FB" w:rsidRDefault="005950FB" w:rsidP="005950FB">
      <w:pPr>
        <w:pStyle w:val="ListParagraph"/>
      </w:pPr>
    </w:p>
    <w:p w14:paraId="0B04FCCB" w14:textId="7F13EFD1" w:rsidR="005950FB" w:rsidRDefault="005950FB" w:rsidP="005950FB">
      <w:pPr>
        <w:pStyle w:val="ListParagraph"/>
        <w:numPr>
          <w:ilvl w:val="0"/>
          <w:numId w:val="6"/>
        </w:numPr>
        <w:spacing w:after="0" w:line="240" w:lineRule="auto"/>
        <w:ind w:left="360"/>
        <w:rPr>
          <w:b/>
          <w:bCs/>
          <w:u w:val="single"/>
        </w:rPr>
      </w:pPr>
      <w:r>
        <w:rPr>
          <w:b/>
          <w:bCs/>
          <w:u w:val="single"/>
        </w:rPr>
        <w:t>B</w:t>
      </w:r>
      <w:r>
        <w:rPr>
          <w:b/>
          <w:bCs/>
          <w:u w:val="single"/>
        </w:rPr>
        <w:t xml:space="preserve">roader </w:t>
      </w:r>
      <w:r w:rsidRPr="000843E4">
        <w:rPr>
          <w:b/>
          <w:bCs/>
          <w:u w:val="single"/>
        </w:rPr>
        <w:t>FOIA management follow-up</w:t>
      </w:r>
      <w:r>
        <w:rPr>
          <w:b/>
          <w:bCs/>
          <w:u w:val="single"/>
        </w:rPr>
        <w:t xml:space="preserve"> is a work in progress.</w:t>
      </w:r>
    </w:p>
    <w:p w14:paraId="056EFB0F" w14:textId="77777777" w:rsidR="005950FB" w:rsidRDefault="005950FB" w:rsidP="005950FB">
      <w:pPr>
        <w:pStyle w:val="ListParagraph"/>
        <w:spacing w:after="0" w:line="240" w:lineRule="auto"/>
        <w:ind w:left="360" w:firstLine="0"/>
        <w:rPr>
          <w:b/>
          <w:bCs/>
          <w:u w:val="single"/>
        </w:rPr>
      </w:pPr>
    </w:p>
    <w:p w14:paraId="5962A454" w14:textId="77777777" w:rsidR="005950FB" w:rsidRDefault="005950FB" w:rsidP="005950FB">
      <w:pPr>
        <w:pStyle w:val="ListParagraph"/>
        <w:spacing w:after="0" w:line="240" w:lineRule="auto"/>
        <w:ind w:left="0" w:firstLine="0"/>
      </w:pPr>
      <w:r>
        <w:t xml:space="preserve">The </w:t>
      </w:r>
      <w:r w:rsidRPr="000843E4">
        <w:t>Gov</w:t>
      </w:r>
      <w:r>
        <w:t>ernment</w:t>
      </w:r>
      <w:r w:rsidRPr="000843E4">
        <w:t xml:space="preserve"> Op</w:t>
      </w:r>
      <w:r>
        <w:t>eration</w:t>
      </w:r>
      <w:r w:rsidRPr="000843E4">
        <w:t xml:space="preserve">s </w:t>
      </w:r>
      <w:r>
        <w:t xml:space="preserve">&amp; Facilities Committee </w:t>
      </w:r>
      <w:r w:rsidRPr="000843E4">
        <w:t xml:space="preserve">last year </w:t>
      </w:r>
      <w:r>
        <w:t>took note in the FY23 budget report of the OCTO director acknowledgement that “c</w:t>
      </w:r>
      <w:r w:rsidRPr="006C2F1A">
        <w:t>urrent </w:t>
      </w:r>
      <w:r>
        <w:t xml:space="preserve">FOI </w:t>
      </w:r>
      <w:r w:rsidRPr="006C2F1A">
        <w:t>compliance processes and responsibilities are not well defined in the wake of the establishment of an independently elected Attorney General position</w:t>
      </w:r>
      <w:r>
        <w:t>.”</w:t>
      </w:r>
      <w:r>
        <w:rPr>
          <w:rStyle w:val="EndnoteReference"/>
        </w:rPr>
        <w:endnoteReference w:id="3"/>
      </w:r>
      <w:r>
        <w:t xml:space="preserve"> </w:t>
      </w:r>
    </w:p>
    <w:p w14:paraId="38470747" w14:textId="77777777" w:rsidR="005950FB" w:rsidRDefault="005950FB" w:rsidP="005950FB">
      <w:pPr>
        <w:pStyle w:val="ListParagraph"/>
        <w:spacing w:after="0" w:line="240" w:lineRule="auto"/>
        <w:ind w:left="0" w:firstLine="0"/>
      </w:pPr>
    </w:p>
    <w:p w14:paraId="17EF03B1" w14:textId="4FEE40E6" w:rsidR="005950FB" w:rsidRDefault="005950FB" w:rsidP="005950FB">
      <w:pPr>
        <w:pStyle w:val="ListParagraph"/>
        <w:spacing w:after="0" w:line="240" w:lineRule="auto"/>
        <w:ind w:left="0" w:firstLine="0"/>
      </w:pPr>
      <w:r>
        <w:t>CTO Parker, the committee wrote, expressed “</w:t>
      </w:r>
      <w:r w:rsidRPr="006C2F1A">
        <w:t>interest in understanding other states’ digital infrastructure for centralized transparency</w:t>
      </w:r>
      <w:r>
        <w:t xml:space="preserve"> </w:t>
      </w:r>
      <w:r w:rsidRPr="006C2F1A">
        <w:t>compliance.</w:t>
      </w:r>
      <w:r>
        <w:t xml:space="preserve">” </w:t>
      </w:r>
      <w:r w:rsidRPr="006C2F1A">
        <w:t xml:space="preserve">The Committee </w:t>
      </w:r>
      <w:r>
        <w:t>said it “</w:t>
      </w:r>
      <w:r w:rsidRPr="006C2F1A">
        <w:t>looks forward to hearing more about OCTO’s research into</w:t>
      </w:r>
      <w:r>
        <w:t xml:space="preserve"> </w:t>
      </w:r>
      <w:r w:rsidRPr="006C2F1A">
        <w:t>alternative freedom of information compliance management models, about its consultation with</w:t>
      </w:r>
      <w:r>
        <w:t xml:space="preserve"> </w:t>
      </w:r>
      <w:r w:rsidRPr="006C2F1A">
        <w:t>the D</w:t>
      </w:r>
      <w:r>
        <w:t>.</w:t>
      </w:r>
      <w:r w:rsidRPr="006C2F1A">
        <w:t>C</w:t>
      </w:r>
      <w:r>
        <w:t>.</w:t>
      </w:r>
      <w:r w:rsidRPr="006C2F1A">
        <w:t xml:space="preserve"> Open Government Coalition, and about any recommended statutory changes that may be</w:t>
      </w:r>
      <w:r>
        <w:t xml:space="preserve"> </w:t>
      </w:r>
      <w:r w:rsidRPr="006C2F1A">
        <w:t>necessary to enable best practices in this area.</w:t>
      </w:r>
      <w:r>
        <w:t>” We</w:t>
      </w:r>
      <w:r>
        <w:t xml:space="preserve"> have not heard yet of OVCTO’s plans but our Coalition is </w:t>
      </w:r>
      <w:r>
        <w:t xml:space="preserve">ready to go to work </w:t>
      </w:r>
      <w:r>
        <w:t>and</w:t>
      </w:r>
      <w:r>
        <w:t xml:space="preserve"> we hope the consultations begin soon.</w:t>
      </w:r>
    </w:p>
    <w:p w14:paraId="476D490F" w14:textId="77777777" w:rsidR="005950FB" w:rsidRDefault="005950FB" w:rsidP="005950FB">
      <w:pPr>
        <w:pStyle w:val="ListParagraph"/>
        <w:spacing w:after="0" w:line="240" w:lineRule="auto"/>
        <w:ind w:left="0" w:firstLine="0"/>
      </w:pPr>
    </w:p>
    <w:p w14:paraId="4698A149" w14:textId="224470ED" w:rsidR="005950FB" w:rsidRDefault="005950FB" w:rsidP="005950FB">
      <w:pPr>
        <w:pStyle w:val="ListParagraph"/>
        <w:spacing w:after="0" w:line="240" w:lineRule="auto"/>
        <w:ind w:left="0" w:firstLine="0"/>
      </w:pPr>
      <w:r>
        <w:t xml:space="preserve">These questions, repeated across government, are about how government assures a performance mindset at each of the 80+ mayoral and independent agencies in delivery of not only FOIA but many other digital services. They are a program of work and consultation with OCTO and our community of experts and advocates for the coming months. </w:t>
      </w:r>
      <w:r>
        <w:t>On open government aspects, t</w:t>
      </w:r>
      <w:r>
        <w:t xml:space="preserve">he </w:t>
      </w:r>
      <w:r>
        <w:t xml:space="preserve">D.C. </w:t>
      </w:r>
      <w:r>
        <w:t xml:space="preserve">Coalition is in touch with similar groups in many other states, so we </w:t>
      </w:r>
      <w:r>
        <w:t xml:space="preserve">can readily </w:t>
      </w:r>
      <w:r>
        <w:t xml:space="preserve">provide </w:t>
      </w:r>
      <w:r>
        <w:t xml:space="preserve">comparative </w:t>
      </w:r>
      <w:r>
        <w:t xml:space="preserve">insight into </w:t>
      </w:r>
      <w:r>
        <w:t xml:space="preserve">others’ experience and </w:t>
      </w:r>
      <w:r>
        <w:t>what works. We shared with the Human Services Committee last year some comparisons of other states’ FOIA compliance approaches.</w:t>
      </w:r>
      <w:r>
        <w:rPr>
          <w:rStyle w:val="EndnoteReference"/>
        </w:rPr>
        <w:endnoteReference w:id="4"/>
      </w:r>
    </w:p>
    <w:p w14:paraId="68704961" w14:textId="77777777" w:rsidR="005950FB" w:rsidRDefault="005950FB" w:rsidP="005950FB">
      <w:pPr>
        <w:pStyle w:val="ListParagraph"/>
        <w:spacing w:before="100" w:beforeAutospacing="1" w:after="100" w:afterAutospacing="1"/>
      </w:pPr>
    </w:p>
    <w:p w14:paraId="36BC029A" w14:textId="7B775289" w:rsidR="005950FB" w:rsidRDefault="005950FB" w:rsidP="005950FB">
      <w:pPr>
        <w:pStyle w:val="ListParagraph"/>
        <w:numPr>
          <w:ilvl w:val="0"/>
          <w:numId w:val="6"/>
        </w:numPr>
        <w:spacing w:before="100" w:beforeAutospacing="1" w:after="100" w:afterAutospacing="1" w:line="240" w:lineRule="auto"/>
        <w:ind w:left="450" w:hanging="450"/>
        <w:rPr>
          <w:b/>
          <w:bCs/>
          <w:u w:val="single"/>
        </w:rPr>
      </w:pPr>
      <w:r w:rsidRPr="005950FB">
        <w:rPr>
          <w:b/>
          <w:bCs/>
          <w:u w:val="single"/>
        </w:rPr>
        <w:t>Digitizing District government records</w:t>
      </w:r>
      <w:r>
        <w:rPr>
          <w:b/>
          <w:bCs/>
          <w:u w:val="single"/>
        </w:rPr>
        <w:t xml:space="preserve"> can’t wait.</w:t>
      </w:r>
    </w:p>
    <w:p w14:paraId="6F60D79D" w14:textId="77777777" w:rsidR="005950FB" w:rsidRPr="005950FB" w:rsidRDefault="005950FB" w:rsidP="005950FB">
      <w:pPr>
        <w:pStyle w:val="ListParagraph"/>
        <w:spacing w:before="100" w:beforeAutospacing="1" w:after="100" w:afterAutospacing="1" w:line="240" w:lineRule="auto"/>
        <w:ind w:left="450" w:firstLine="0"/>
        <w:rPr>
          <w:b/>
          <w:bCs/>
          <w:u w:val="single"/>
        </w:rPr>
      </w:pPr>
    </w:p>
    <w:p w14:paraId="7D2B4BC4" w14:textId="0F9A6800" w:rsidR="005950FB" w:rsidRDefault="005950FB" w:rsidP="005950FB">
      <w:pPr>
        <w:pStyle w:val="ListParagraph"/>
        <w:spacing w:after="34" w:line="248" w:lineRule="auto"/>
        <w:ind w:left="0" w:firstLine="0"/>
      </w:pPr>
      <w:r>
        <w:t xml:space="preserve">The Council Human Services Committee last year recommended a start on ambitious plans to digitize D.C. records and linked that to FOIA and </w:t>
      </w:r>
      <w:r>
        <w:t>its requirement for p</w:t>
      </w:r>
      <w:r>
        <w:t>roactive web access to records published to be accessible without need of a request. That would of course work differently (and, we hope, better) if a greater extent of government records were “native digital” material—never having lived as paper.</w:t>
      </w:r>
      <w:r>
        <w:rPr>
          <w:rStyle w:val="EndnoteReference"/>
        </w:rPr>
        <w:endnoteReference w:id="5"/>
      </w:r>
      <w:r>
        <w:t xml:space="preserve"> </w:t>
      </w:r>
    </w:p>
    <w:p w14:paraId="0106A3A8" w14:textId="77777777" w:rsidR="005950FB" w:rsidRDefault="005950FB" w:rsidP="005950FB">
      <w:pPr>
        <w:pStyle w:val="ListParagraph"/>
        <w:spacing w:after="34" w:line="248" w:lineRule="auto"/>
        <w:ind w:left="0" w:firstLine="0"/>
      </w:pPr>
    </w:p>
    <w:p w14:paraId="76C10479" w14:textId="7A0DC1DD" w:rsidR="005950FB" w:rsidRDefault="005950FB" w:rsidP="005950FB">
      <w:pPr>
        <w:pStyle w:val="ListParagraph"/>
        <w:spacing w:after="34" w:line="248" w:lineRule="auto"/>
        <w:ind w:left="0" w:firstLine="0"/>
      </w:pPr>
      <w:r>
        <w:t xml:space="preserve">The committee FY23 budget report called on the Board of Ethics and Government Accountability and the Office of Open Government to start this </w:t>
      </w:r>
      <w:r>
        <w:t>work and</w:t>
      </w:r>
      <w:r>
        <w:t xml:space="preserve"> link it to OCTO. As the committee wrote, BEGA and OOG should:</w:t>
      </w:r>
    </w:p>
    <w:p w14:paraId="65D588BF" w14:textId="77777777" w:rsidR="005950FB" w:rsidRDefault="005950FB" w:rsidP="005950FB">
      <w:pPr>
        <w:pStyle w:val="ListParagraph"/>
        <w:spacing w:after="34" w:line="248" w:lineRule="auto"/>
        <w:ind w:firstLine="0"/>
      </w:pPr>
      <w:r>
        <w:t>d</w:t>
      </w:r>
      <w:r w:rsidRPr="004A4C8B">
        <w:t>evelop a budget and process to determine</w:t>
      </w:r>
      <w:r>
        <w:t xml:space="preserve"> </w:t>
      </w:r>
      <w:r w:rsidRPr="004A4C8B">
        <w:t>how to digitize records and include community partners to help identify the next</w:t>
      </w:r>
      <w:r>
        <w:t xml:space="preserve"> </w:t>
      </w:r>
      <w:r w:rsidRPr="004A4C8B">
        <w:t>steps in achieving this goal</w:t>
      </w:r>
      <w:r>
        <w:t>…</w:t>
      </w:r>
      <w:r w:rsidRPr="004A4C8B">
        <w:t>Because FOIA statutes have not been</w:t>
      </w:r>
      <w:r>
        <w:t xml:space="preserve"> </w:t>
      </w:r>
      <w:r w:rsidRPr="004A4C8B">
        <w:t>amended in 21 years, with the exception of the public health emergency, BEGA</w:t>
      </w:r>
      <w:r>
        <w:t xml:space="preserve"> </w:t>
      </w:r>
      <w:r w:rsidRPr="004A4C8B">
        <w:t>will need to work collaboratively with stakeholders to determine a clear plan to</w:t>
      </w:r>
      <w:r>
        <w:t xml:space="preserve"> </w:t>
      </w:r>
      <w:r w:rsidRPr="004A4C8B">
        <w:t>digitize decades worth of records. The Committee also recommends that BEGA</w:t>
      </w:r>
      <w:r>
        <w:t xml:space="preserve"> </w:t>
      </w:r>
      <w:r w:rsidRPr="004A4C8B">
        <w:t>work with the Office of the Chief Technology Officer (“OCTO”) in its redesign of</w:t>
      </w:r>
      <w:r>
        <w:t xml:space="preserve"> </w:t>
      </w:r>
      <w:r w:rsidRPr="004A4C8B">
        <w:t>dc.gov with the goal of laying a groundwork to make digital records accessible on</w:t>
      </w:r>
      <w:r>
        <w:t xml:space="preserve"> </w:t>
      </w:r>
      <w:r w:rsidRPr="004A4C8B">
        <w:t>agency websites. In doing so, BEGA should assert its expertise and share open</w:t>
      </w:r>
      <w:r>
        <w:t xml:space="preserve"> </w:t>
      </w:r>
      <w:r w:rsidRPr="004A4C8B">
        <w:t>government best practices with OCTO.</w:t>
      </w:r>
    </w:p>
    <w:p w14:paraId="4BEBF741" w14:textId="77777777" w:rsidR="005950FB" w:rsidRDefault="005950FB" w:rsidP="005950FB">
      <w:pPr>
        <w:pStyle w:val="ListParagraph"/>
        <w:spacing w:after="34" w:line="248" w:lineRule="auto"/>
        <w:ind w:left="0" w:firstLine="0"/>
      </w:pPr>
    </w:p>
    <w:p w14:paraId="367959B9" w14:textId="5F02A04E" w:rsidR="005950FB" w:rsidRDefault="005950FB" w:rsidP="005950FB">
      <w:pPr>
        <w:pStyle w:val="ListParagraph"/>
        <w:spacing w:after="34" w:line="248" w:lineRule="auto"/>
        <w:ind w:left="0" w:firstLine="0"/>
      </w:pPr>
      <w:r>
        <w:t xml:space="preserve">We hope the Coalition could be a valued civil society partner as this important conversation goes forward. </w:t>
      </w:r>
      <w:r>
        <w:t xml:space="preserve">Community experts have experience including with the National Archives work with OMB on related federal government initiatives. </w:t>
      </w:r>
      <w:r>
        <w:t xml:space="preserve">Digitization </w:t>
      </w:r>
      <w:r>
        <w:t>obviously can</w:t>
      </w:r>
      <w:r>
        <w:t xml:space="preserve"> make a huge difference in search and retrieval of public records by the public. We ask the committee to reiterate interest in this via OCTO report language, while we raise the matter with Executive Administration and Labor Committee that now oversees BEGA/OOG.  </w:t>
      </w:r>
    </w:p>
    <w:p w14:paraId="6873D144" w14:textId="77777777" w:rsidR="005950FB" w:rsidRDefault="005950FB" w:rsidP="005950FB">
      <w:pPr>
        <w:pStyle w:val="ListParagraph"/>
        <w:spacing w:after="34" w:line="248" w:lineRule="auto"/>
        <w:ind w:left="0" w:firstLine="0"/>
      </w:pPr>
    </w:p>
    <w:p w14:paraId="3E300D59" w14:textId="77777777" w:rsidR="005950FB" w:rsidRDefault="005950FB" w:rsidP="005950FB">
      <w:pPr>
        <w:pStyle w:val="ListParagraph"/>
        <w:spacing w:after="34" w:line="248" w:lineRule="auto"/>
        <w:ind w:left="0" w:firstLine="0"/>
      </w:pPr>
      <w:r>
        <w:t>We note a court decision this year may require proactive online publication of very large amounts of records.</w:t>
      </w:r>
      <w:r>
        <w:rPr>
          <w:rStyle w:val="EndnoteReference"/>
        </w:rPr>
        <w:endnoteReference w:id="6"/>
      </w:r>
      <w:r>
        <w:t xml:space="preserve"> As agencies have ignored this obligation, found in the D.C. FOIA, D.C. Code § 2-536 (“Information Which Must Be Made Public”), the decision may pose challenges. When one agency was found in 2016 to have avoided years of required digitization and publication, the remedial cost was millions; across D.C. it’s a budget tsunami.</w:t>
      </w:r>
      <w:r>
        <w:rPr>
          <w:rStyle w:val="EndnoteReference"/>
        </w:rPr>
        <w:endnoteReference w:id="7"/>
      </w:r>
      <w:r>
        <w:t xml:space="preserve">  We look forward to hearing from OCTO in our talks in the balance of the year that it has given this some thought. </w:t>
      </w:r>
    </w:p>
    <w:p w14:paraId="547CDB88" w14:textId="77777777" w:rsidR="005950FB" w:rsidRDefault="005950FB" w:rsidP="005950FB">
      <w:pPr>
        <w:pStyle w:val="ListParagraph"/>
        <w:spacing w:after="34" w:line="248" w:lineRule="auto"/>
        <w:ind w:left="0" w:firstLine="0"/>
      </w:pPr>
    </w:p>
    <w:p w14:paraId="54FEE631" w14:textId="3AE426B4" w:rsidR="005950FB" w:rsidRDefault="005950FB" w:rsidP="005950FB">
      <w:pPr>
        <w:pStyle w:val="ListParagraph"/>
        <w:numPr>
          <w:ilvl w:val="0"/>
          <w:numId w:val="6"/>
        </w:numPr>
        <w:spacing w:before="100" w:beforeAutospacing="1" w:after="100" w:afterAutospacing="1"/>
        <w:ind w:left="270" w:hanging="270"/>
        <w:rPr>
          <w:b/>
          <w:bCs/>
          <w:u w:val="single"/>
        </w:rPr>
      </w:pPr>
      <w:r w:rsidRPr="000843E4">
        <w:rPr>
          <w:b/>
          <w:bCs/>
          <w:u w:val="single"/>
        </w:rPr>
        <w:t xml:space="preserve">Helping </w:t>
      </w:r>
      <w:r>
        <w:rPr>
          <w:b/>
          <w:bCs/>
          <w:u w:val="single"/>
        </w:rPr>
        <w:t xml:space="preserve">D.C. </w:t>
      </w:r>
      <w:r w:rsidRPr="000843E4">
        <w:rPr>
          <w:b/>
          <w:bCs/>
          <w:u w:val="single"/>
        </w:rPr>
        <w:t xml:space="preserve">archives prepare for proper stewardship of digital government </w:t>
      </w:r>
      <w:r>
        <w:rPr>
          <w:b/>
          <w:bCs/>
          <w:u w:val="single"/>
        </w:rPr>
        <w:t>records</w:t>
      </w:r>
      <w:r>
        <w:rPr>
          <w:b/>
          <w:bCs/>
          <w:u w:val="single"/>
        </w:rPr>
        <w:t>.</w:t>
      </w:r>
    </w:p>
    <w:p w14:paraId="66C4C07C" w14:textId="77777777" w:rsidR="005950FB" w:rsidRDefault="005950FB" w:rsidP="005950FB">
      <w:pPr>
        <w:pStyle w:val="ListParagraph"/>
        <w:spacing w:before="100" w:beforeAutospacing="1" w:after="100" w:afterAutospacing="1"/>
        <w:ind w:left="270" w:firstLine="0"/>
        <w:rPr>
          <w:b/>
          <w:bCs/>
          <w:u w:val="single"/>
        </w:rPr>
      </w:pPr>
    </w:p>
    <w:p w14:paraId="51D1D452" w14:textId="77777777" w:rsidR="005950FB" w:rsidRDefault="005950FB" w:rsidP="005950FB">
      <w:pPr>
        <w:pStyle w:val="ListParagraph"/>
        <w:spacing w:before="100" w:beforeAutospacing="1" w:after="100" w:afterAutospacing="1" w:line="240" w:lineRule="auto"/>
        <w:ind w:left="0" w:firstLine="0"/>
      </w:pPr>
      <w:r w:rsidRPr="00E972BE">
        <w:t>T</w:t>
      </w:r>
      <w:r>
        <w:t>he Government Operations &amp; Facilities Committee in its FY23 budget report addressed concerns that digital records get proper attention in archives planning, now that a new building is on the drawing boards.</w:t>
      </w:r>
      <w:r>
        <w:rPr>
          <w:rStyle w:val="EndnoteReference"/>
        </w:rPr>
        <w:endnoteReference w:id="8"/>
      </w:r>
      <w:r>
        <w:t xml:space="preserve"> The report “strongly” encouraged OCTO to </w:t>
      </w:r>
      <w:r w:rsidRPr="00B400EB">
        <w:t xml:space="preserve">coordinate with </w:t>
      </w:r>
      <w:r>
        <w:t>the Office of the Secretary (that includes the Office of Public Records and Archives), Department of General Services (that manages D.C. government construction), t</w:t>
      </w:r>
      <w:r w:rsidRPr="00B400EB">
        <w:t>he interested public</w:t>
      </w:r>
      <w:r>
        <w:t xml:space="preserve"> </w:t>
      </w:r>
      <w:r w:rsidRPr="00B400EB">
        <w:t>(including the Council-appointed Archives Advisory Group), and external contractors involved in</w:t>
      </w:r>
      <w:r>
        <w:t xml:space="preserve"> </w:t>
      </w:r>
      <w:r w:rsidRPr="00B400EB">
        <w:t xml:space="preserve">Archives design and construction </w:t>
      </w:r>
      <w:r>
        <w:t>“</w:t>
      </w:r>
      <w:r w:rsidRPr="00B400EB">
        <w:t>to ensure that the intake, preservation, and accessibility of</w:t>
      </w:r>
      <w:r>
        <w:t xml:space="preserve"> </w:t>
      </w:r>
      <w:r w:rsidRPr="00B400EB">
        <w:t>digital archival materials are consistently considered and addressed in the design of the new</w:t>
      </w:r>
      <w:r>
        <w:t xml:space="preserve"> </w:t>
      </w:r>
      <w:r w:rsidRPr="00B400EB">
        <w:t>facility.</w:t>
      </w:r>
      <w:r>
        <w:t>”</w:t>
      </w:r>
    </w:p>
    <w:p w14:paraId="79CB248E" w14:textId="77777777" w:rsidR="005950FB" w:rsidRDefault="005950FB" w:rsidP="005950FB">
      <w:pPr>
        <w:pStyle w:val="ListParagraph"/>
        <w:spacing w:before="100" w:beforeAutospacing="1" w:after="100" w:afterAutospacing="1" w:line="240" w:lineRule="auto"/>
        <w:ind w:left="0" w:firstLine="0"/>
      </w:pPr>
    </w:p>
    <w:p w14:paraId="01464277" w14:textId="77777777" w:rsidR="005950FB" w:rsidRDefault="005950FB" w:rsidP="005950FB">
      <w:pPr>
        <w:pStyle w:val="ListParagraph"/>
        <w:spacing w:before="100" w:beforeAutospacing="1" w:after="100" w:afterAutospacing="1" w:line="240" w:lineRule="auto"/>
        <w:ind w:left="0" w:firstLine="0"/>
      </w:pPr>
      <w:r>
        <w:t xml:space="preserve">We work in coalition with the archives advocates, as part of our embrace of public access to government records old and new. They say that OCTO engagement (and application of funds reserved long ago for the purpose) remains a work in progress and that early technical plans by the </w:t>
      </w:r>
      <w:r>
        <w:lastRenderedPageBreak/>
        <w:t>esteemed Hartman-Cox architects can benefit from greater technical input. In the agency alphabet soup, we lack details what may hinder the necessary collaboration; but it’s vital.</w:t>
      </w:r>
    </w:p>
    <w:p w14:paraId="7F7091D7" w14:textId="77777777" w:rsidR="005950FB" w:rsidRDefault="005950FB" w:rsidP="005950FB">
      <w:pPr>
        <w:pStyle w:val="ListParagraph"/>
        <w:spacing w:before="100" w:beforeAutospacing="1" w:after="100" w:afterAutospacing="1" w:line="240" w:lineRule="auto"/>
        <w:ind w:hanging="720"/>
      </w:pPr>
    </w:p>
    <w:p w14:paraId="1C97D14E" w14:textId="77777777" w:rsidR="005950FB" w:rsidRPr="00FD1296" w:rsidRDefault="005950FB" w:rsidP="005950FB">
      <w:pPr>
        <w:pStyle w:val="ListParagraph"/>
        <w:spacing w:before="100" w:beforeAutospacing="1" w:after="100" w:afterAutospacing="1" w:line="240" w:lineRule="auto"/>
        <w:ind w:left="0" w:firstLine="0"/>
        <w:rPr>
          <w:b/>
          <w:bCs/>
          <w:u w:val="single"/>
        </w:rPr>
      </w:pPr>
      <w:r>
        <w:t>The committee warned again in discussing Department of General Services that government agency silos should not limit the needed discussions necessary to get a great archives facility.</w:t>
      </w:r>
      <w:r>
        <w:rPr>
          <w:rStyle w:val="EndnoteReference"/>
        </w:rPr>
        <w:endnoteReference w:id="9"/>
      </w:r>
      <w:r>
        <w:t xml:space="preserve"> The committee rejected DGS insistence “</w:t>
      </w:r>
      <w:r w:rsidRPr="006643EC">
        <w:t>that they will not have a role in preparing digital archives.</w:t>
      </w:r>
      <w:r>
        <w:t>” The Committee said “t</w:t>
      </w:r>
      <w:r w:rsidRPr="006643EC">
        <w:t>his response misses the point.</w:t>
      </w:r>
      <w:r>
        <w:t xml:space="preserve"> </w:t>
      </w:r>
      <w:r w:rsidRPr="006643EC">
        <w:t>Digital archival infrastructure and research activities will need a physical space designed to</w:t>
      </w:r>
      <w:r>
        <w:t xml:space="preserve"> </w:t>
      </w:r>
      <w:r w:rsidRPr="006643EC">
        <w:t>accommodate them and DGS</w:t>
      </w:r>
      <w:r>
        <w:t>’</w:t>
      </w:r>
      <w:r w:rsidRPr="006643EC">
        <w:t>s architect needs to be aware of these requirements</w:t>
      </w:r>
      <w:r>
        <w:t>.” OCTO can help this all come out right.</w:t>
      </w:r>
    </w:p>
    <w:p w14:paraId="07456772" w14:textId="77777777" w:rsidR="005950FB" w:rsidRPr="000544E0" w:rsidRDefault="005950FB" w:rsidP="005950FB">
      <w:pPr>
        <w:spacing w:line="240" w:lineRule="auto"/>
        <w:ind w:left="14" w:hanging="14"/>
        <w:contextualSpacing/>
      </w:pPr>
      <w:r>
        <w:t>The Coalition is working with expert advocates for the archives and asks the committee to help OCTO play the important role (it even has a budget allocation from prior years for the purpose) it should in preparing the archives plans.</w:t>
      </w:r>
    </w:p>
    <w:p w14:paraId="38918792" w14:textId="77777777" w:rsidR="005950FB" w:rsidRDefault="005950FB" w:rsidP="005950FB">
      <w:pPr>
        <w:ind w:left="0" w:firstLine="0"/>
      </w:pPr>
    </w:p>
    <w:sectPr w:rsidR="005950FB" w:rsidSect="00300302">
      <w:footerReference w:type="even" r:id="rId13"/>
      <w:footerReference w:type="default" r:id="rId14"/>
      <w:pgSz w:w="12240" w:h="15840"/>
      <w:pgMar w:top="639" w:right="1260" w:bottom="1269"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9B76" w14:textId="77777777" w:rsidR="006F1AA0" w:rsidRDefault="006F1AA0" w:rsidP="002C36B9">
      <w:pPr>
        <w:spacing w:after="0" w:line="240" w:lineRule="auto"/>
      </w:pPr>
      <w:r>
        <w:separator/>
      </w:r>
    </w:p>
  </w:endnote>
  <w:endnote w:type="continuationSeparator" w:id="0">
    <w:p w14:paraId="56B15F31" w14:textId="77777777" w:rsidR="006F1AA0" w:rsidRDefault="006F1AA0" w:rsidP="002C36B9">
      <w:pPr>
        <w:spacing w:after="0" w:line="240" w:lineRule="auto"/>
      </w:pPr>
      <w:r>
        <w:continuationSeparator/>
      </w:r>
    </w:p>
  </w:endnote>
  <w:endnote w:id="1">
    <w:p w14:paraId="71891346" w14:textId="5D6EB41A" w:rsidR="00300302" w:rsidRDefault="00300302" w:rsidP="00300302">
      <w:pPr>
        <w:pStyle w:val="EndnoteText"/>
      </w:pPr>
      <w:r>
        <w:t>ENDNOTES</w:t>
      </w:r>
    </w:p>
    <w:p w14:paraId="7B002993" w14:textId="77777777" w:rsidR="00300302" w:rsidRDefault="00300302" w:rsidP="00300302">
      <w:pPr>
        <w:pStyle w:val="EndnoteText"/>
      </w:pPr>
    </w:p>
    <w:p w14:paraId="49DF878D" w14:textId="7EF5C358" w:rsidR="00FB2396" w:rsidRDefault="00300302" w:rsidP="00FB2396">
      <w:pPr>
        <w:pStyle w:val="EndnoteText"/>
      </w:pPr>
      <w:r>
        <w:rPr>
          <w:rStyle w:val="EndnoteReference"/>
        </w:rPr>
        <w:endnoteRef/>
      </w:r>
      <w:r>
        <w:t xml:space="preserve"> See our </w:t>
      </w:r>
      <w:r w:rsidR="00D6752C">
        <w:t>O</w:t>
      </w:r>
      <w:r w:rsidR="00FB2396">
        <w:t xml:space="preserve">CTO oversight </w:t>
      </w:r>
      <w:r>
        <w:t xml:space="preserve">testimony </w:t>
      </w:r>
      <w:r w:rsidR="005950FB">
        <w:t>in 2022</w:t>
      </w:r>
      <w:r>
        <w:t xml:space="preserve"> to </w:t>
      </w:r>
      <w:r w:rsidR="005950FB">
        <w:t xml:space="preserve">the Council </w:t>
      </w:r>
      <w:r>
        <w:t>Committee on Government Operations &amp; Facilities.</w:t>
      </w:r>
      <w:r w:rsidR="00FB2396">
        <w:t xml:space="preserve"> Available at:</w:t>
      </w:r>
      <w:r>
        <w:t xml:space="preserve">  </w:t>
      </w:r>
      <w:hyperlink r:id="rId1" w:history="1">
        <w:r w:rsidR="00FB2396" w:rsidRPr="00A2477B">
          <w:rPr>
            <w:rStyle w:val="Hyperlink"/>
          </w:rPr>
          <w:t>https://dcogc.org/wp-content/uploads/2022/03/OGC-testimony-on-OCTO-2-17-22.docx</w:t>
        </w:r>
      </w:hyperlink>
      <w:r w:rsidR="00FB2396">
        <w:t xml:space="preserve">. </w:t>
      </w:r>
      <w:r>
        <w:t xml:space="preserve">We drew attention to a White House initiative to improve electronic government services and urged D.C. also to explore creating an Office of Electronic Government </w:t>
      </w:r>
      <w:r w:rsidR="00062C42">
        <w:t>with appropriate mission and authority.</w:t>
      </w:r>
      <w:r>
        <w:t xml:space="preserve"> The sweeping</w:t>
      </w:r>
      <w:r w:rsidR="00FB2396">
        <w:t xml:space="preserve"> plan w</w:t>
      </w:r>
      <w:r>
        <w:t>as unveiled in a</w:t>
      </w:r>
      <w:r w:rsidR="005950FB">
        <w:t xml:space="preserve"> 2021</w:t>
      </w:r>
      <w:r>
        <w:t xml:space="preserve"> executive order to improve federal </w:t>
      </w:r>
      <w:r w:rsidR="00FB2396">
        <w:t xml:space="preserve">digital </w:t>
      </w:r>
      <w:r>
        <w:t>activities with feedback from users guiding constant improvement.</w:t>
      </w:r>
      <w:r w:rsidR="00FB2396">
        <w:t xml:space="preserve"> For D.C</w:t>
      </w:r>
      <w:r w:rsidR="005950FB">
        <w:t>.</w:t>
      </w:r>
      <w:r w:rsidR="00FB2396">
        <w:t xml:space="preserve"> we called for a new expectation, enforced by new </w:t>
      </w:r>
      <w:r w:rsidR="00062C42">
        <w:t xml:space="preserve">mandate </w:t>
      </w:r>
      <w:r w:rsidR="00FB2396">
        <w:t>at the highest level, so that “m</w:t>
      </w:r>
      <w:r w:rsidR="00FB2396" w:rsidRPr="00FB2396">
        <w:t>anagement of [the government’s] customer experience and service delivery should be driven fundamentally by the voice of the customer through human-centered design methodologies; empirical customer research; an understanding of behavioral science and user testing, especially for digital services; and other mechanisms of engagement.</w:t>
      </w:r>
      <w:r w:rsidR="00FB2396">
        <w:t xml:space="preserve">” </w:t>
      </w:r>
      <w:r w:rsidR="005950FB">
        <w:t>Q</w:t>
      </w:r>
      <w:r w:rsidR="00FB2396">
        <w:t xml:space="preserve">uoting </w:t>
      </w:r>
      <w:r w:rsidR="00FB2396" w:rsidRPr="00B67233">
        <w:rPr>
          <w:i/>
          <w:iCs/>
        </w:rPr>
        <w:t>Executive Order on Transforming Federal Customer Experience and Service Delivery to Rebuild Trust in Government</w:t>
      </w:r>
      <w:r w:rsidR="00FB2396">
        <w:t xml:space="preserve"> (The White House, </w:t>
      </w:r>
      <w:r w:rsidR="00FB2396" w:rsidRPr="00B67233">
        <w:t>December 13, 2021</w:t>
      </w:r>
      <w:r w:rsidR="00FB2396">
        <w:t>). Available at:</w:t>
      </w:r>
      <w:r w:rsidR="00FB2396" w:rsidRPr="00A81AD0">
        <w:t xml:space="preserve"> </w:t>
      </w:r>
      <w:hyperlink r:id="rId2" w:history="1">
        <w:r w:rsidR="00FB2396" w:rsidRPr="000C49F7">
          <w:rPr>
            <w:rStyle w:val="Hyperlink"/>
          </w:rPr>
          <w:t>https://tinyurl.com/yjy9avw9</w:t>
        </w:r>
      </w:hyperlink>
      <w:r w:rsidR="00FB2396">
        <w:t>.</w:t>
      </w:r>
    </w:p>
    <w:p w14:paraId="151B0E96" w14:textId="3B85DFFC" w:rsidR="00300302" w:rsidRDefault="00300302">
      <w:pPr>
        <w:pStyle w:val="EndnoteText"/>
      </w:pPr>
    </w:p>
  </w:endnote>
  <w:endnote w:id="2">
    <w:p w14:paraId="0C9E262E" w14:textId="77777777" w:rsidR="005950FB" w:rsidRDefault="005950FB" w:rsidP="005950FB">
      <w:pPr>
        <w:pStyle w:val="EndnoteText"/>
      </w:pPr>
      <w:r>
        <w:rPr>
          <w:rStyle w:val="EndnoteReference"/>
        </w:rPr>
        <w:endnoteRef/>
      </w:r>
      <w:r>
        <w:t xml:space="preserve"> Office of Open Government, </w:t>
      </w:r>
      <w:r w:rsidRPr="00D6752C">
        <w:rPr>
          <w:i/>
          <w:iCs/>
        </w:rPr>
        <w:t>FOIAXpress Advisory Opinion</w:t>
      </w:r>
      <w:r>
        <w:t xml:space="preserve"> (#OOG-2021-008M) (February 2022). Available at: </w:t>
      </w:r>
      <w:hyperlink r:id="rId3" w:history="1">
        <w:r w:rsidRPr="00A2477B">
          <w:rPr>
            <w:rStyle w:val="Hyperlink"/>
          </w:rPr>
          <w:t>https://www.open-dc.gov/sites/default/files/OCTO_FOIASystem_AdvisoryOpinion_FINAL%202%2017%2022.pdf</w:t>
        </w:r>
      </w:hyperlink>
      <w:r>
        <w:t xml:space="preserve">. </w:t>
      </w:r>
    </w:p>
  </w:endnote>
  <w:endnote w:id="3">
    <w:p w14:paraId="2A2B7B2B" w14:textId="77777777" w:rsidR="005950FB" w:rsidRDefault="005950FB" w:rsidP="005950FB">
      <w:pPr>
        <w:pStyle w:val="EndnoteText"/>
      </w:pPr>
    </w:p>
    <w:p w14:paraId="6120ECE5" w14:textId="77777777" w:rsidR="005950FB" w:rsidRDefault="005950FB" w:rsidP="005950FB">
      <w:pPr>
        <w:pStyle w:val="EndnoteText"/>
      </w:pPr>
      <w:r>
        <w:rPr>
          <w:rStyle w:val="EndnoteReference"/>
        </w:rPr>
        <w:endnoteRef/>
      </w:r>
      <w:r>
        <w:t xml:space="preserve"> Committee on Government Operations &amp; Facilities FY23 budget report, pp. 110-123. Available at: </w:t>
      </w:r>
      <w:hyperlink r:id="rId4" w:history="1">
        <w:r w:rsidRPr="00A2477B">
          <w:rPr>
            <w:rStyle w:val="Hyperlink"/>
          </w:rPr>
          <w:t>https://static1.squarespace.com/static/5bbd09f3d74562c7f0e4bb10/t/625f27bebed5b4634ad3ee43/1650403263232/GOF+FY23+Report+%2B+Recommendations+on+FY23+Budget+-+Circulation+Draft+-+04.19.2022.pdf</w:t>
        </w:r>
      </w:hyperlink>
      <w:r>
        <w:t xml:space="preserve">. </w:t>
      </w:r>
    </w:p>
    <w:p w14:paraId="472D09F2" w14:textId="77777777" w:rsidR="005950FB" w:rsidRDefault="005950FB" w:rsidP="005950FB">
      <w:pPr>
        <w:pStyle w:val="EndnoteText"/>
      </w:pPr>
    </w:p>
  </w:endnote>
  <w:endnote w:id="4">
    <w:p w14:paraId="25E37350" w14:textId="77777777" w:rsidR="005950FB" w:rsidRDefault="005950FB" w:rsidP="005950FB">
      <w:pPr>
        <w:pStyle w:val="EndnoteText"/>
      </w:pPr>
      <w:r>
        <w:rPr>
          <w:rStyle w:val="EndnoteReference"/>
        </w:rPr>
        <w:endnoteRef/>
      </w:r>
      <w:r>
        <w:t xml:space="preserve"> The Connecticut Freedom of Information Commission and related law and regulations are exemplary. See </w:t>
      </w:r>
      <w:hyperlink r:id="rId5" w:history="1">
        <w:r w:rsidRPr="00A2477B">
          <w:rPr>
            <w:rStyle w:val="Hyperlink"/>
          </w:rPr>
          <w:t>https://portal.ct.gov/FOI</w:t>
        </w:r>
      </w:hyperlink>
      <w:r>
        <w:t xml:space="preserve">. </w:t>
      </w:r>
    </w:p>
    <w:p w14:paraId="21CB9B35" w14:textId="77777777" w:rsidR="005950FB" w:rsidRDefault="005950FB" w:rsidP="005950FB">
      <w:pPr>
        <w:pStyle w:val="EndnoteText"/>
      </w:pPr>
    </w:p>
  </w:endnote>
  <w:endnote w:id="5">
    <w:p w14:paraId="1B0DFD40" w14:textId="77777777" w:rsidR="005950FB" w:rsidRDefault="005950FB" w:rsidP="005950FB">
      <w:pPr>
        <w:pStyle w:val="FootnoteText"/>
      </w:pPr>
      <w:r>
        <w:rPr>
          <w:rStyle w:val="EndnoteReference"/>
        </w:rPr>
        <w:endnoteRef/>
      </w:r>
      <w:r>
        <w:t xml:space="preserve"> Human Services Committee FY23 budget report, pp. 87-94. Available at: </w:t>
      </w:r>
      <w:hyperlink r:id="rId6" w:history="1">
        <w:r w:rsidRPr="00A2477B">
          <w:rPr>
            <w:rStyle w:val="Hyperlink"/>
          </w:rPr>
          <w:t>https://dccouncil.gov/wp-content/uploads/2022/04/DRAFT-FY23-Committee-on-Human-Services-Budget-Report-04.19.22-Circulation2.pdf</w:t>
        </w:r>
      </w:hyperlink>
      <w:r>
        <w:t xml:space="preserve">. The federal government has planned for a transition of federal records from paper to digital and the experience shows the complexity of the idea and the lead times needed.  Original OMB order is here: </w:t>
      </w:r>
      <w:hyperlink r:id="rId7" w:history="1">
        <w:r w:rsidRPr="005C2F21">
          <w:rPr>
            <w:rStyle w:val="Hyperlink"/>
          </w:rPr>
          <w:t>https://www.whitehouse.gov/wp-content/uploads/2019/08/M-19-21-new-2.pdf</w:t>
        </w:r>
      </w:hyperlink>
      <w:r>
        <w:t xml:space="preserve"> (ordering agencies to “e</w:t>
      </w:r>
      <w:r w:rsidRPr="00425B91">
        <w:t>nsure that all Federal records are created, retained, and managed in electronic formats,</w:t>
      </w:r>
      <w:r>
        <w:t xml:space="preserve"> </w:t>
      </w:r>
      <w:r w:rsidRPr="00425B91">
        <w:t>with appropriate metadata</w:t>
      </w:r>
      <w:r>
        <w:t xml:space="preserve">.”). Postponement to June 2024 is here: </w:t>
      </w:r>
      <w:hyperlink r:id="rId8" w:history="1">
        <w:r w:rsidRPr="005C2F21">
          <w:rPr>
            <w:rStyle w:val="Hyperlink"/>
          </w:rPr>
          <w:t>https://www.whitehouse.gov/wp-content/uploads/2022/12/M_23_07-M-Memo-Electronic-Records_final.pdf</w:t>
        </w:r>
      </w:hyperlink>
      <w:r>
        <w:t xml:space="preserve">. </w:t>
      </w:r>
    </w:p>
    <w:p w14:paraId="02B92E2F" w14:textId="77777777" w:rsidR="005950FB" w:rsidRDefault="005950FB" w:rsidP="005950FB">
      <w:pPr>
        <w:pStyle w:val="EndnoteText"/>
      </w:pPr>
    </w:p>
  </w:endnote>
  <w:endnote w:id="6">
    <w:p w14:paraId="152D81D1" w14:textId="77777777" w:rsidR="005950FB" w:rsidRDefault="005950FB" w:rsidP="005950FB">
      <w:pPr>
        <w:pStyle w:val="FootnoteText"/>
      </w:pPr>
      <w:r>
        <w:rPr>
          <w:rStyle w:val="EndnoteReference"/>
        </w:rPr>
        <w:endnoteRef/>
      </w:r>
      <w:r>
        <w:t xml:space="preserve"> The case is </w:t>
      </w:r>
      <w:r w:rsidRPr="00DF668B">
        <w:rPr>
          <w:i/>
          <w:iCs/>
        </w:rPr>
        <w:t>Terris</w:t>
      </w:r>
      <w:r>
        <w:rPr>
          <w:i/>
          <w:iCs/>
        </w:rPr>
        <w:t>,</w:t>
      </w:r>
      <w:r w:rsidRPr="00DF668B">
        <w:rPr>
          <w:i/>
          <w:iCs/>
        </w:rPr>
        <w:t xml:space="preserve"> et al. v. District of Columbia</w:t>
      </w:r>
      <w:r>
        <w:t xml:space="preserve">, (D.C. Court of Appeals, No. </w:t>
      </w:r>
      <w:r w:rsidRPr="007A7D85">
        <w:t>21-CV-543</w:t>
      </w:r>
      <w:r>
        <w:t xml:space="preserve">) (argued September 2022). The Coalition led a set of groups that submitted a brief as </w:t>
      </w:r>
      <w:r w:rsidRPr="0089150A">
        <w:rPr>
          <w:i/>
          <w:iCs/>
        </w:rPr>
        <w:t>amicus curiae</w:t>
      </w:r>
      <w:r>
        <w:rPr>
          <w:i/>
          <w:iCs/>
        </w:rPr>
        <w:t xml:space="preserve"> </w:t>
      </w:r>
      <w:r>
        <w:t xml:space="preserve">in support of the Superior Court decision ordering publication. The D.C. Council also submitted a brief in support of the plaintiffs and argued. For background, see </w:t>
      </w:r>
      <w:hyperlink r:id="rId9" w:history="1">
        <w:r w:rsidRPr="005C2F21">
          <w:rPr>
            <w:rStyle w:val="Hyperlink"/>
          </w:rPr>
          <w:t>https://dcogc.org/blog/new-amicus-brief-by-coalition-supports-d-c-foia-online-publication-requirements-in-novel-appeal/</w:t>
        </w:r>
      </w:hyperlink>
      <w:r>
        <w:t>.</w:t>
      </w:r>
    </w:p>
    <w:p w14:paraId="0DD9E002" w14:textId="77777777" w:rsidR="005950FB" w:rsidRDefault="005950FB" w:rsidP="005950FB">
      <w:pPr>
        <w:pStyle w:val="EndnoteText"/>
      </w:pPr>
    </w:p>
  </w:endnote>
  <w:endnote w:id="7">
    <w:p w14:paraId="7A73763A" w14:textId="77777777" w:rsidR="005950FB" w:rsidRDefault="005950FB" w:rsidP="005950FB">
      <w:pPr>
        <w:pStyle w:val="FootnoteText"/>
      </w:pPr>
      <w:r>
        <w:rPr>
          <w:rStyle w:val="EndnoteReference"/>
        </w:rPr>
        <w:endnoteRef/>
      </w:r>
      <w:r>
        <w:t xml:space="preserve"> For the story of DCRA failure to follow online records publishing requirements, see OOG investigation report in 2016, available here: </w:t>
      </w:r>
      <w:hyperlink r:id="rId10" w:history="1">
        <w:r w:rsidRPr="00A2477B">
          <w:rPr>
            <w:rStyle w:val="Hyperlink"/>
          </w:rPr>
          <w:t>https://www.open-dc.gov/sites/default/files/OOG%20002_1.29.16%20AO_Redacted.pdf</w:t>
        </w:r>
      </w:hyperlink>
      <w:r>
        <w:t xml:space="preserve">. The press loved the story, sending reporters to make incognito records requests. The Council had to find $3 million in emergency funds to address the longstanding agency avoidance of legal obligation (and good practice in building agencies nationwide that long since moved building permit files to digital). Drawing on the DCRA lesson, the Coalition testified in 2016 on the need for more vigorous Council oversight. See blog post here: </w:t>
      </w:r>
      <w:hyperlink r:id="rId11" w:history="1">
        <w:r w:rsidRPr="00A2477B">
          <w:rPr>
            <w:rStyle w:val="Hyperlink"/>
          </w:rPr>
          <w:t>https://dcogc.org/blog/coalition-testifies-seeking-stronger-oversight-to-correct-foia-failures-at-d-c-dept-of-consumer-regulatory-affairs/</w:t>
        </w:r>
      </w:hyperlink>
      <w:r>
        <w:t xml:space="preserve">. </w:t>
      </w:r>
    </w:p>
    <w:p w14:paraId="3A8B968B" w14:textId="77777777" w:rsidR="005950FB" w:rsidRDefault="005950FB" w:rsidP="005950FB">
      <w:pPr>
        <w:pStyle w:val="EndnoteText"/>
      </w:pPr>
    </w:p>
  </w:endnote>
  <w:endnote w:id="8">
    <w:p w14:paraId="181B158F" w14:textId="309E7120" w:rsidR="005950FB" w:rsidRDefault="005950FB" w:rsidP="005950FB">
      <w:pPr>
        <w:pStyle w:val="EndnoteText"/>
      </w:pPr>
      <w:r>
        <w:rPr>
          <w:rStyle w:val="EndnoteReference"/>
        </w:rPr>
        <w:endnoteRef/>
      </w:r>
      <w:r>
        <w:t xml:space="preserve"> Committee on Government O</w:t>
      </w:r>
      <w:r>
        <w:t>perations</w:t>
      </w:r>
      <w:r>
        <w:t xml:space="preserve"> &amp; Facilities, FY23 budget report, p. 118. Available at:   </w:t>
      </w:r>
      <w:hyperlink r:id="rId12" w:history="1">
        <w:r w:rsidRPr="00A2477B">
          <w:rPr>
            <w:rStyle w:val="Hyperlink"/>
          </w:rPr>
          <w:t>https://static1.squarespace.com/static/5bbd09f3d74562c7f0e4bb10/t/625f27bebed5b4634ad3ee43/1650403263232/GOF+FY23+Report+%2B+Recommendations+on+FY23+Budget+-+Circulation+Draft+-+04.19.2022.pdf</w:t>
        </w:r>
      </w:hyperlink>
      <w:r>
        <w:t xml:space="preserve">. </w:t>
      </w:r>
    </w:p>
    <w:p w14:paraId="6216D83A" w14:textId="77777777" w:rsidR="005950FB" w:rsidRDefault="005950FB" w:rsidP="005950FB">
      <w:pPr>
        <w:pStyle w:val="EndnoteText"/>
      </w:pPr>
    </w:p>
  </w:endnote>
  <w:endnote w:id="9">
    <w:p w14:paraId="21721BA3" w14:textId="77777777" w:rsidR="005950FB" w:rsidRDefault="005950FB" w:rsidP="005950FB">
      <w:pPr>
        <w:pStyle w:val="EndnoteText"/>
      </w:pPr>
      <w:r>
        <w:rPr>
          <w:rStyle w:val="EndnoteReference"/>
        </w:rPr>
        <w:endnoteRef/>
      </w:r>
      <w:r>
        <w:t xml:space="preserve"> Id., pp. 136-137.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42508"/>
      <w:docPartObj>
        <w:docPartGallery w:val="Page Numbers (Bottom of Page)"/>
        <w:docPartUnique/>
      </w:docPartObj>
    </w:sdtPr>
    <w:sdtContent>
      <w:p w14:paraId="220611F8" w14:textId="45D9982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6EAAF" w14:textId="77777777" w:rsidR="002C36B9" w:rsidRDefault="002C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9461"/>
      <w:docPartObj>
        <w:docPartGallery w:val="Page Numbers (Bottom of Page)"/>
        <w:docPartUnique/>
      </w:docPartObj>
    </w:sdtPr>
    <w:sdtContent>
      <w:p w14:paraId="5BFB63C7" w14:textId="216DBA6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7E64F" w14:textId="77777777" w:rsidR="002C36B9" w:rsidRDefault="002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F1AC" w14:textId="77777777" w:rsidR="006F1AA0" w:rsidRDefault="006F1AA0" w:rsidP="002C36B9">
      <w:pPr>
        <w:spacing w:after="0" w:line="240" w:lineRule="auto"/>
      </w:pPr>
      <w:r>
        <w:separator/>
      </w:r>
    </w:p>
  </w:footnote>
  <w:footnote w:type="continuationSeparator" w:id="0">
    <w:p w14:paraId="281F2BE6" w14:textId="77777777" w:rsidR="006F1AA0" w:rsidRDefault="006F1AA0" w:rsidP="002C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5D82"/>
    <w:multiLevelType w:val="hybridMultilevel"/>
    <w:tmpl w:val="2A5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A4B62"/>
    <w:multiLevelType w:val="hybridMultilevel"/>
    <w:tmpl w:val="9C6C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31885"/>
    <w:multiLevelType w:val="hybridMultilevel"/>
    <w:tmpl w:val="BF6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1421E"/>
    <w:multiLevelType w:val="hybridMultilevel"/>
    <w:tmpl w:val="53B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A82E62"/>
    <w:multiLevelType w:val="hybridMultilevel"/>
    <w:tmpl w:val="BBAA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51527"/>
    <w:multiLevelType w:val="hybridMultilevel"/>
    <w:tmpl w:val="680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33693">
    <w:abstractNumId w:val="4"/>
  </w:num>
  <w:num w:numId="2" w16cid:durableId="347606041">
    <w:abstractNumId w:val="3"/>
  </w:num>
  <w:num w:numId="3" w16cid:durableId="167596239">
    <w:abstractNumId w:val="2"/>
  </w:num>
  <w:num w:numId="4" w16cid:durableId="1733194768">
    <w:abstractNumId w:val="1"/>
  </w:num>
  <w:num w:numId="5" w16cid:durableId="245916487">
    <w:abstractNumId w:val="6"/>
  </w:num>
  <w:num w:numId="6" w16cid:durableId="1329213134">
    <w:abstractNumId w:val="5"/>
  </w:num>
  <w:num w:numId="7" w16cid:durableId="141381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F"/>
    <w:rsid w:val="00062C42"/>
    <w:rsid w:val="000843E4"/>
    <w:rsid w:val="00093DA7"/>
    <w:rsid w:val="000D0554"/>
    <w:rsid w:val="00140656"/>
    <w:rsid w:val="00184FA8"/>
    <w:rsid w:val="002B017D"/>
    <w:rsid w:val="002C36B9"/>
    <w:rsid w:val="002D4DDE"/>
    <w:rsid w:val="00300302"/>
    <w:rsid w:val="00307F6E"/>
    <w:rsid w:val="00366181"/>
    <w:rsid w:val="00380BC5"/>
    <w:rsid w:val="00382EFD"/>
    <w:rsid w:val="003C3435"/>
    <w:rsid w:val="003D380E"/>
    <w:rsid w:val="00406746"/>
    <w:rsid w:val="00467528"/>
    <w:rsid w:val="004D63E6"/>
    <w:rsid w:val="00555A37"/>
    <w:rsid w:val="005950FB"/>
    <w:rsid w:val="005E230D"/>
    <w:rsid w:val="00607119"/>
    <w:rsid w:val="00666479"/>
    <w:rsid w:val="00697303"/>
    <w:rsid w:val="006F1AA0"/>
    <w:rsid w:val="007155EA"/>
    <w:rsid w:val="007811AE"/>
    <w:rsid w:val="007869E3"/>
    <w:rsid w:val="007A7A66"/>
    <w:rsid w:val="007D07F5"/>
    <w:rsid w:val="0089150A"/>
    <w:rsid w:val="008B5F87"/>
    <w:rsid w:val="008C1623"/>
    <w:rsid w:val="008E63F8"/>
    <w:rsid w:val="00963229"/>
    <w:rsid w:val="009E1730"/>
    <w:rsid w:val="00A4784C"/>
    <w:rsid w:val="00B813BC"/>
    <w:rsid w:val="00BE0ECA"/>
    <w:rsid w:val="00C14DC5"/>
    <w:rsid w:val="00C241EF"/>
    <w:rsid w:val="00C806C8"/>
    <w:rsid w:val="00D114B6"/>
    <w:rsid w:val="00D11B80"/>
    <w:rsid w:val="00D6752C"/>
    <w:rsid w:val="00DC138A"/>
    <w:rsid w:val="00E00BA0"/>
    <w:rsid w:val="00E972BE"/>
    <w:rsid w:val="00F1665B"/>
    <w:rsid w:val="00F3433B"/>
    <w:rsid w:val="00F7724B"/>
    <w:rsid w:val="00FB2396"/>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97D5"/>
  <w15:chartTrackingRefBased/>
  <w15:docId w15:val="{BA81BFBB-DC05-EE42-8904-ACC47B7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F"/>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basedOn w:val="Normal"/>
    <w:next w:val="Normal"/>
    <w:link w:val="Heading1Char"/>
    <w:uiPriority w:val="9"/>
    <w:qFormat/>
    <w:rsid w:val="004D6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1EF"/>
    <w:rPr>
      <w:color w:val="0000FF"/>
      <w:u w:val="single"/>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rFonts w:ascii="Times New Roman" w:eastAsia="Times New Roman" w:hAnsi="Times New Roman" w:cs="Times New Roman"/>
      <w:color w:val="000000"/>
      <w:sz w:val="20"/>
      <w:szCs w:val="20"/>
      <w:lang w:bidi="en-US"/>
    </w:rPr>
  </w:style>
  <w:style w:type="paragraph" w:styleId="Subtitle">
    <w:name w:val="Subtitle"/>
    <w:basedOn w:val="Normal"/>
    <w:link w:val="SubtitleChar"/>
    <w:qFormat/>
    <w:rsid w:val="00C241EF"/>
    <w:pPr>
      <w:spacing w:after="0" w:line="240" w:lineRule="auto"/>
      <w:ind w:left="720" w:firstLine="0"/>
    </w:pPr>
    <w:rPr>
      <w:rFonts w:ascii="Arial" w:hAnsi="Arial"/>
      <w:color w:val="auto"/>
      <w:szCs w:val="20"/>
      <w:u w:val="single"/>
      <w:lang w:bidi="ar-SA"/>
    </w:rPr>
  </w:style>
  <w:style w:type="character" w:customStyle="1" w:styleId="SubtitleChar">
    <w:name w:val="Subtitle Char"/>
    <w:basedOn w:val="DefaultParagraphFont"/>
    <w:link w:val="Subtitle"/>
    <w:rsid w:val="00C241EF"/>
    <w:rPr>
      <w:rFonts w:ascii="Arial" w:eastAsia="Times New Roman" w:hAnsi="Arial" w:cs="Times New Roman"/>
      <w:szCs w:val="20"/>
      <w:u w:val="single"/>
    </w:rPr>
  </w:style>
  <w:style w:type="paragraph" w:styleId="ListParagraph">
    <w:name w:val="List Paragraph"/>
    <w:basedOn w:val="Normal"/>
    <w:uiPriority w:val="34"/>
    <w:qFormat/>
    <w:rsid w:val="00D114B6"/>
    <w:pPr>
      <w:ind w:left="720"/>
      <w:contextualSpacing/>
    </w:pPr>
  </w:style>
  <w:style w:type="character" w:styleId="UnresolvedMention">
    <w:name w:val="Unresolved Mention"/>
    <w:basedOn w:val="DefaultParagraphFont"/>
    <w:uiPriority w:val="99"/>
    <w:semiHidden/>
    <w:unhideWhenUsed/>
    <w:rsid w:val="002C36B9"/>
    <w:rPr>
      <w:color w:val="605E5C"/>
      <w:shd w:val="clear" w:color="auto" w:fill="E1DFDD"/>
    </w:rPr>
  </w:style>
  <w:style w:type="paragraph" w:styleId="Footer">
    <w:name w:val="footer"/>
    <w:basedOn w:val="Normal"/>
    <w:link w:val="FooterChar"/>
    <w:uiPriority w:val="99"/>
    <w:unhideWhenUsed/>
    <w:rsid w:val="002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B9"/>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2C36B9"/>
  </w:style>
  <w:style w:type="character" w:styleId="FollowedHyperlink">
    <w:name w:val="FollowedHyperlink"/>
    <w:basedOn w:val="DefaultParagraphFont"/>
    <w:uiPriority w:val="99"/>
    <w:semiHidden/>
    <w:unhideWhenUsed/>
    <w:rsid w:val="00963229"/>
    <w:rPr>
      <w:color w:val="954F72" w:themeColor="followedHyperlink"/>
      <w:u w:val="single"/>
    </w:rPr>
  </w:style>
  <w:style w:type="paragraph" w:styleId="EndnoteText">
    <w:name w:val="endnote text"/>
    <w:basedOn w:val="Normal"/>
    <w:link w:val="EndnoteTextChar"/>
    <w:uiPriority w:val="99"/>
    <w:semiHidden/>
    <w:unhideWhenUsed/>
    <w:rsid w:val="00963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29"/>
    <w:rPr>
      <w:rFonts w:ascii="Times New Roman" w:eastAsia="Times New Roman" w:hAnsi="Times New Roman" w:cs="Times New Roman"/>
      <w:color w:val="000000"/>
      <w:sz w:val="20"/>
      <w:szCs w:val="20"/>
      <w:lang w:bidi="en-US"/>
    </w:rPr>
  </w:style>
  <w:style w:type="character" w:styleId="EndnoteReference">
    <w:name w:val="endnote reference"/>
    <w:basedOn w:val="DefaultParagraphFont"/>
    <w:uiPriority w:val="99"/>
    <w:semiHidden/>
    <w:unhideWhenUsed/>
    <w:rsid w:val="00963229"/>
    <w:rPr>
      <w:vertAlign w:val="superscript"/>
    </w:rPr>
  </w:style>
  <w:style w:type="character" w:customStyle="1" w:styleId="Heading1Char">
    <w:name w:val="Heading 1 Char"/>
    <w:basedOn w:val="DefaultParagraphFont"/>
    <w:link w:val="Heading1"/>
    <w:uiPriority w:val="9"/>
    <w:rsid w:val="004D63E6"/>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7869E3"/>
    <w:rPr>
      <w:b/>
      <w:bCs/>
    </w:rPr>
  </w:style>
  <w:style w:type="character" w:customStyle="1" w:styleId="a">
    <w:name w:val="a"/>
    <w:basedOn w:val="DefaultParagraphFont"/>
    <w:rsid w:val="008C1623"/>
  </w:style>
  <w:style w:type="paragraph" w:styleId="FootnoteText">
    <w:name w:val="footnote text"/>
    <w:basedOn w:val="Normal"/>
    <w:link w:val="FootnoteTextChar"/>
    <w:uiPriority w:val="99"/>
    <w:unhideWhenUsed/>
    <w:rsid w:val="00300302"/>
    <w:pPr>
      <w:spacing w:after="0" w:line="240" w:lineRule="auto"/>
    </w:pPr>
    <w:rPr>
      <w:sz w:val="20"/>
      <w:szCs w:val="20"/>
    </w:rPr>
  </w:style>
  <w:style w:type="character" w:customStyle="1" w:styleId="FootnoteTextChar">
    <w:name w:val="Footnote Text Char"/>
    <w:basedOn w:val="DefaultParagraphFont"/>
    <w:link w:val="FootnoteText"/>
    <w:uiPriority w:val="99"/>
    <w:rsid w:val="00300302"/>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300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71">
      <w:bodyDiv w:val="1"/>
      <w:marLeft w:val="0"/>
      <w:marRight w:val="0"/>
      <w:marTop w:val="0"/>
      <w:marBottom w:val="0"/>
      <w:divBdr>
        <w:top w:val="none" w:sz="0" w:space="0" w:color="auto"/>
        <w:left w:val="none" w:sz="0" w:space="0" w:color="auto"/>
        <w:bottom w:val="none" w:sz="0" w:space="0" w:color="auto"/>
        <w:right w:val="none" w:sz="0" w:space="0" w:color="auto"/>
      </w:divBdr>
    </w:div>
    <w:div w:id="167671241">
      <w:bodyDiv w:val="1"/>
      <w:marLeft w:val="0"/>
      <w:marRight w:val="0"/>
      <w:marTop w:val="0"/>
      <w:marBottom w:val="0"/>
      <w:divBdr>
        <w:top w:val="none" w:sz="0" w:space="0" w:color="auto"/>
        <w:left w:val="none" w:sz="0" w:space="0" w:color="auto"/>
        <w:bottom w:val="none" w:sz="0" w:space="0" w:color="auto"/>
        <w:right w:val="none" w:sz="0" w:space="0" w:color="auto"/>
      </w:divBdr>
    </w:div>
    <w:div w:id="287400133">
      <w:bodyDiv w:val="1"/>
      <w:marLeft w:val="0"/>
      <w:marRight w:val="0"/>
      <w:marTop w:val="0"/>
      <w:marBottom w:val="0"/>
      <w:divBdr>
        <w:top w:val="none" w:sz="0" w:space="0" w:color="auto"/>
        <w:left w:val="none" w:sz="0" w:space="0" w:color="auto"/>
        <w:bottom w:val="none" w:sz="0" w:space="0" w:color="auto"/>
        <w:right w:val="none" w:sz="0" w:space="0" w:color="auto"/>
      </w:divBdr>
      <w:divsChild>
        <w:div w:id="1457867790">
          <w:marLeft w:val="0"/>
          <w:marRight w:val="0"/>
          <w:marTop w:val="0"/>
          <w:marBottom w:val="0"/>
          <w:divBdr>
            <w:top w:val="none" w:sz="0" w:space="0" w:color="auto"/>
            <w:left w:val="none" w:sz="0" w:space="0" w:color="auto"/>
            <w:bottom w:val="none" w:sz="0" w:space="0" w:color="auto"/>
            <w:right w:val="none" w:sz="0" w:space="0" w:color="auto"/>
          </w:divBdr>
        </w:div>
        <w:div w:id="1475877737">
          <w:marLeft w:val="0"/>
          <w:marRight w:val="0"/>
          <w:marTop w:val="0"/>
          <w:marBottom w:val="0"/>
          <w:divBdr>
            <w:top w:val="none" w:sz="0" w:space="0" w:color="auto"/>
            <w:left w:val="none" w:sz="0" w:space="0" w:color="auto"/>
            <w:bottom w:val="none" w:sz="0" w:space="0" w:color="auto"/>
            <w:right w:val="none" w:sz="0" w:space="0" w:color="auto"/>
          </w:divBdr>
        </w:div>
      </w:divsChild>
    </w:div>
    <w:div w:id="1541286312">
      <w:bodyDiv w:val="1"/>
      <w:marLeft w:val="0"/>
      <w:marRight w:val="0"/>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
      </w:divsChild>
    </w:div>
    <w:div w:id="1549874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6801">
          <w:marLeft w:val="0"/>
          <w:marRight w:val="0"/>
          <w:marTop w:val="0"/>
          <w:marBottom w:val="0"/>
          <w:divBdr>
            <w:top w:val="none" w:sz="0" w:space="0" w:color="auto"/>
            <w:left w:val="none" w:sz="0" w:space="0" w:color="auto"/>
            <w:bottom w:val="none" w:sz="0" w:space="0" w:color="auto"/>
            <w:right w:val="none" w:sz="0" w:space="0" w:color="auto"/>
          </w:divBdr>
        </w:div>
      </w:divsChild>
    </w:div>
    <w:div w:id="20012764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147">
          <w:marLeft w:val="0"/>
          <w:marRight w:val="0"/>
          <w:marTop w:val="0"/>
          <w:marBottom w:val="0"/>
          <w:divBdr>
            <w:top w:val="none" w:sz="0" w:space="0" w:color="auto"/>
            <w:left w:val="none" w:sz="0" w:space="0" w:color="auto"/>
            <w:bottom w:val="none" w:sz="0" w:space="0" w:color="auto"/>
            <w:right w:val="none" w:sz="0" w:space="0" w:color="auto"/>
          </w:divBdr>
        </w:div>
        <w:div w:id="1558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nline.dcra.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whitehouse.gov/wp-content/uploads/2022/12/M_23_07-M-Memo-Electronic-Records_final.pdf" TargetMode="External"/><Relationship Id="rId3" Type="http://schemas.openxmlformats.org/officeDocument/2006/relationships/hyperlink" Target="https://www.open-dc.gov/sites/default/files/OCTO_FOIASystem_AdvisoryOpinion_FINAL%202%2017%2022.pdf" TargetMode="External"/><Relationship Id="rId7" Type="http://schemas.openxmlformats.org/officeDocument/2006/relationships/hyperlink" Target="https://www.whitehouse.gov/wp-content/uploads/2019/08/M-19-21-new-2.pdf" TargetMode="External"/><Relationship Id="rId12"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2" Type="http://schemas.openxmlformats.org/officeDocument/2006/relationships/hyperlink" Target="https://tinyurl.com/yjy9avw9" TargetMode="External"/><Relationship Id="rId1" Type="http://schemas.openxmlformats.org/officeDocument/2006/relationships/hyperlink" Target="https://dcogc.org/wp-content/uploads/2022/03/OGC-testimony-on-OCTO-2-17-22.docx" TargetMode="External"/><Relationship Id="rId6" Type="http://schemas.openxmlformats.org/officeDocument/2006/relationships/hyperlink" Target="https://dccouncil.gov/wp-content/uploads/2022/04/DRAFT-FY23-Committee-on-Human-Services-Budget-Report-04.19.22-Circulation2.pdf" TargetMode="External"/><Relationship Id="rId11" Type="http://schemas.openxmlformats.org/officeDocument/2006/relationships/hyperlink" Target="https://dcogc.org/blog/coalition-testifies-seeking-stronger-oversight-to-correct-foia-failures-at-d-c-dept-of-consumer-regulatory-affairs/" TargetMode="External"/><Relationship Id="rId5" Type="http://schemas.openxmlformats.org/officeDocument/2006/relationships/hyperlink" Target="https://portal.ct.gov/FOI" TargetMode="External"/><Relationship Id="rId10" Type="http://schemas.openxmlformats.org/officeDocument/2006/relationships/hyperlink" Target="https://www.open-dc.gov/sites/default/files/OOG%20002_1.29.16%20AO_Redacted.pdf" TargetMode="External"/><Relationship Id="rId4"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9" Type="http://schemas.openxmlformats.org/officeDocument/2006/relationships/hyperlink" Target="https://dcogc.org/blog/new-amicus-brief-by-coalition-supports-d-c-foia-online-publication-requirements-in-novel-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3A5D-0126-9D40-9593-E0CB919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2023-02-22T15:59:00Z</cp:lastPrinted>
  <dcterms:created xsi:type="dcterms:W3CDTF">2023-04-03T02:44:00Z</dcterms:created>
  <dcterms:modified xsi:type="dcterms:W3CDTF">2023-04-03T02:44:00Z</dcterms:modified>
</cp:coreProperties>
</file>