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19" w14:textId="31F12280" w:rsidR="00C241EF" w:rsidRDefault="00184FA8" w:rsidP="00C241EF">
      <w:pPr>
        <w:spacing w:line="240" w:lineRule="auto"/>
        <w:ind w:left="-5"/>
      </w:pPr>
      <w:r>
        <w:rPr>
          <w:noProof/>
        </w:rPr>
        <w:drawing>
          <wp:anchor distT="0" distB="0" distL="114300" distR="114300" simplePos="0" relativeHeight="251659264" behindDoc="0" locked="0" layoutInCell="1" allowOverlap="1" wp14:anchorId="609BEE2B" wp14:editId="1FC3F80C">
            <wp:simplePos x="0" y="0"/>
            <wp:positionH relativeFrom="column">
              <wp:posOffset>-178435</wp:posOffset>
            </wp:positionH>
            <wp:positionV relativeFrom="paragraph">
              <wp:posOffset>164465</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EE595" w14:textId="228DB8A4" w:rsidR="00C241EF" w:rsidRPr="004A70AC" w:rsidRDefault="00C241EF" w:rsidP="00C241EF">
      <w:pPr>
        <w:rPr>
          <w:sz w:val="28"/>
          <w:szCs w:val="28"/>
        </w:rPr>
      </w:pPr>
      <w:r>
        <w:t xml:space="preserve"> </w:t>
      </w:r>
    </w:p>
    <w:p w14:paraId="420A717A" w14:textId="24885683" w:rsidR="00C241EF" w:rsidRDefault="00C241EF" w:rsidP="00C241EF"/>
    <w:p w14:paraId="25B021D3" w14:textId="77777777" w:rsidR="00C241EF" w:rsidRDefault="00C241EF" w:rsidP="00C241EF"/>
    <w:p w14:paraId="710E6095" w14:textId="2F065DF9" w:rsidR="00C241EF" w:rsidRDefault="00184FA8" w:rsidP="00C241EF">
      <w:r>
        <w:rPr>
          <w:noProof/>
        </w:rPr>
        <mc:AlternateContent>
          <mc:Choice Requires="wps">
            <w:drawing>
              <wp:anchor distT="0" distB="0" distL="114300" distR="114300" simplePos="0" relativeHeight="251660288" behindDoc="0" locked="0" layoutInCell="1" allowOverlap="1" wp14:anchorId="5E0F87DE" wp14:editId="5A8219FC">
                <wp:simplePos x="0" y="0"/>
                <wp:positionH relativeFrom="margin">
                  <wp:posOffset>-209550</wp:posOffset>
                </wp:positionH>
                <wp:positionV relativeFrom="paragraph">
                  <wp:posOffset>93345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C241EF" w:rsidP="00C241EF">
                            <w:pPr>
                              <w:rPr>
                                <w:rFonts w:ascii="ArialMT" w:hAnsi="ArialMT" w:cs="ArialMT"/>
                                <w:sz w:val="18"/>
                                <w:szCs w:val="18"/>
                              </w:rPr>
                            </w:pPr>
                            <w:hyperlink r:id="rId9"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87DE" id="_x0000_t202" coordsize="21600,21600" o:spt="202" path="m,l,21600r21600,l21600,xe">
                <v:stroke joinstyle="miter"/>
                <v:path gradientshapeok="t" o:connecttype="rect"/>
              </v:shapetype>
              <v:shape id="Text Box 3" o:spid="_x0000_s1026" type="#_x0000_t202" style="position:absolute;left:0;text-align:left;margin-left:-16.5pt;margin-top:7.35pt;width:161.5pt;height: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GUWl84wAAAA4BAAAPAAAAAAAAAAAAAAAAADsEAABkcnMvZG93bnJldi54&#13;&#10;bWxQSwUGAAAAAAQABADzAAAASwUAAAAA&#13;&#10;" stroked="f">
                <v:path arrowok="t"/>
                <v:textbo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C241EF" w:rsidP="00C241EF">
                      <w:pPr>
                        <w:rPr>
                          <w:rFonts w:ascii="ArialMT" w:hAnsi="ArialMT" w:cs="ArialMT"/>
                          <w:sz w:val="18"/>
                          <w:szCs w:val="18"/>
                        </w:rPr>
                      </w:pPr>
                      <w:hyperlink r:id="rId10" w:history="1">
                        <w:r w:rsidRPr="00685978">
                          <w:rPr>
                            <w:rStyle w:val="Hyperlink"/>
                            <w:rFonts w:ascii="ArialMT" w:hAnsi="ArialMT" w:cs="ArialMT"/>
                            <w:sz w:val="18"/>
                            <w:szCs w:val="18"/>
                          </w:rPr>
                          <w:t>www.dcogc.org</w:t>
                        </w:r>
                      </w:hyperlink>
                      <w:r>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v:textbox>
                <w10:wrap type="tight" anchorx="margin"/>
              </v:shape>
            </w:pict>
          </mc:Fallback>
        </mc:AlternateContent>
      </w:r>
    </w:p>
    <w:p w14:paraId="4F9C3887" w14:textId="3270DE21" w:rsidR="00C241EF" w:rsidRDefault="00C241EF" w:rsidP="00C241EF"/>
    <w:p w14:paraId="37316B62" w14:textId="77777777" w:rsidR="00C241EF" w:rsidRDefault="00C241EF" w:rsidP="00C241EF"/>
    <w:p w14:paraId="1B84A809" w14:textId="446C8237" w:rsidR="00C241EF" w:rsidRPr="00154F8E" w:rsidRDefault="00184FA8" w:rsidP="00184FA8">
      <w:pPr>
        <w:pStyle w:val="Subtitle"/>
        <w:ind w:left="0"/>
        <w:rPr>
          <w:rFonts w:ascii="Times New Roman" w:hAnsi="Times New Roman"/>
          <w:b/>
          <w:u w:val="none"/>
        </w:rPr>
      </w:pPr>
      <w:r>
        <w:rPr>
          <w:rFonts w:ascii="Times New Roman" w:hAnsi="Times New Roman"/>
          <w:b/>
          <w:u w:val="none"/>
        </w:rPr>
        <w:t xml:space="preserve">        </w:t>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Pr>
          <w:rFonts w:ascii="Times New Roman" w:hAnsi="Times New Roman"/>
          <w:b/>
          <w:u w:val="none"/>
        </w:rPr>
        <w:t>T</w:t>
      </w:r>
      <w:r w:rsidR="00C241EF" w:rsidRPr="00154F8E">
        <w:rPr>
          <w:rFonts w:ascii="Times New Roman" w:hAnsi="Times New Roman"/>
          <w:b/>
          <w:u w:val="none"/>
        </w:rPr>
        <w:t>estimony of the</w:t>
      </w:r>
    </w:p>
    <w:p w14:paraId="4B2F2DB2" w14:textId="77777777" w:rsidR="00C241EF" w:rsidRPr="00154F8E" w:rsidRDefault="00C241EF" w:rsidP="00607119">
      <w:pPr>
        <w:pStyle w:val="Subtitle"/>
        <w:ind w:left="2160" w:firstLine="720"/>
        <w:rPr>
          <w:rFonts w:ascii="Times New Roman" w:hAnsi="Times New Roman"/>
          <w:b/>
          <w:u w:val="none"/>
        </w:rPr>
      </w:pPr>
      <w:r w:rsidRPr="00154F8E">
        <w:rPr>
          <w:rFonts w:ascii="Times New Roman" w:hAnsi="Times New Roman"/>
          <w:b/>
          <w:u w:val="none"/>
        </w:rPr>
        <w:t xml:space="preserve">D.C. Open Government Coalition </w:t>
      </w:r>
    </w:p>
    <w:p w14:paraId="6BF8E9FE" w14:textId="77777777" w:rsidR="00C241EF" w:rsidRPr="00154F8E" w:rsidRDefault="00C241EF" w:rsidP="00C241EF">
      <w:pPr>
        <w:jc w:val="center"/>
      </w:pPr>
    </w:p>
    <w:p w14:paraId="4735976E" w14:textId="77777777" w:rsidR="00C241EF" w:rsidRPr="00154F8E" w:rsidRDefault="00C241EF" w:rsidP="00C241EF">
      <w:pPr>
        <w:jc w:val="center"/>
      </w:pPr>
      <w:r w:rsidRPr="00154F8E">
        <w:t>by</w:t>
      </w:r>
    </w:p>
    <w:p w14:paraId="6DFF2F00" w14:textId="77777777" w:rsidR="00C241EF" w:rsidRPr="00154F8E" w:rsidRDefault="00C241EF" w:rsidP="00C241EF">
      <w:pPr>
        <w:jc w:val="center"/>
      </w:pPr>
    </w:p>
    <w:p w14:paraId="71BAFD3F" w14:textId="77777777" w:rsidR="00C241EF" w:rsidRPr="002C36B9" w:rsidRDefault="00C241EF" w:rsidP="00C241EF">
      <w:pPr>
        <w:ind w:left="-360" w:firstLine="360"/>
        <w:jc w:val="center"/>
        <w:rPr>
          <w:b/>
          <w:bCs/>
        </w:rPr>
      </w:pPr>
      <w:r w:rsidRPr="002C36B9">
        <w:rPr>
          <w:b/>
          <w:bCs/>
        </w:rPr>
        <w:t>Fritz Mulhauser</w:t>
      </w:r>
    </w:p>
    <w:p w14:paraId="2D92499B" w14:textId="77777777" w:rsidR="00C241EF" w:rsidRPr="00154F8E" w:rsidRDefault="00C241EF" w:rsidP="00C241EF">
      <w:pPr>
        <w:jc w:val="center"/>
      </w:pPr>
      <w:r w:rsidRPr="00154F8E">
        <w:t xml:space="preserve">Co-Chair, Coalition Legal Committee </w:t>
      </w:r>
    </w:p>
    <w:p w14:paraId="601E928D" w14:textId="77777777" w:rsidR="00C241EF" w:rsidRPr="00154F8E" w:rsidRDefault="00C241EF" w:rsidP="00C241EF">
      <w:pPr>
        <w:jc w:val="center"/>
      </w:pPr>
    </w:p>
    <w:p w14:paraId="0FE923DC" w14:textId="77777777" w:rsidR="00C241EF" w:rsidRPr="00154F8E" w:rsidRDefault="00C241EF" w:rsidP="00C241EF">
      <w:pPr>
        <w:jc w:val="center"/>
        <w:rPr>
          <w:b/>
          <w:bCs/>
        </w:rPr>
      </w:pPr>
      <w:r w:rsidRPr="00154F8E">
        <w:t>Before the</w:t>
      </w:r>
    </w:p>
    <w:p w14:paraId="7E117354" w14:textId="1CEA9970" w:rsidR="00C241EF" w:rsidRDefault="00C241EF" w:rsidP="00C241EF">
      <w:pPr>
        <w:jc w:val="center"/>
        <w:rPr>
          <w:bCs/>
        </w:rPr>
      </w:pPr>
      <w:r w:rsidRPr="00154F8E">
        <w:rPr>
          <w:bCs/>
        </w:rPr>
        <w:t>Council of the District of Columbia</w:t>
      </w:r>
      <w:r>
        <w:rPr>
          <w:bCs/>
        </w:rPr>
        <w:t xml:space="preserve">, </w:t>
      </w:r>
      <w:r w:rsidRPr="00154F8E">
        <w:rPr>
          <w:bCs/>
        </w:rPr>
        <w:t xml:space="preserve">Committee on </w:t>
      </w:r>
      <w:r>
        <w:rPr>
          <w:bCs/>
        </w:rPr>
        <w:t>Transportation &amp; the Environment</w:t>
      </w:r>
      <w:r w:rsidRPr="00154F8E">
        <w:rPr>
          <w:bCs/>
        </w:rPr>
        <w:t xml:space="preserve"> </w:t>
      </w:r>
    </w:p>
    <w:p w14:paraId="7E82577F" w14:textId="77777777" w:rsidR="00C241EF" w:rsidRPr="00154F8E" w:rsidRDefault="00C241EF" w:rsidP="00C241EF">
      <w:pPr>
        <w:jc w:val="center"/>
        <w:rPr>
          <w:bCs/>
        </w:rPr>
      </w:pPr>
    </w:p>
    <w:p w14:paraId="6963983F" w14:textId="6318D708" w:rsidR="00C241EF" w:rsidRPr="00EC209D" w:rsidRDefault="00C241EF" w:rsidP="00C241EF">
      <w:pPr>
        <w:jc w:val="center"/>
      </w:pPr>
      <w:r>
        <w:t xml:space="preserve">FY 22 Performance Oversight – </w:t>
      </w:r>
      <w:r>
        <w:t xml:space="preserve">Washington Metro Area Transit Authority </w:t>
      </w:r>
      <w:r>
        <w:t xml:space="preserve">  </w:t>
      </w:r>
    </w:p>
    <w:p w14:paraId="2CD4A57E" w14:textId="77777777" w:rsidR="00C241EF" w:rsidRPr="00EC209D" w:rsidRDefault="00C241EF" w:rsidP="00C241EF">
      <w:pPr>
        <w:jc w:val="center"/>
      </w:pPr>
    </w:p>
    <w:p w14:paraId="74DDAF3B" w14:textId="5F636D7B" w:rsidR="00C241EF" w:rsidRDefault="00C241EF" w:rsidP="00963229">
      <w:pPr>
        <w:pBdr>
          <w:bottom w:val="single" w:sz="12" w:space="0" w:color="auto"/>
        </w:pBdr>
        <w:jc w:val="center"/>
      </w:pPr>
      <w:r>
        <w:t>February 1</w:t>
      </w:r>
      <w:r>
        <w:t>7</w:t>
      </w:r>
      <w:r>
        <w:t xml:space="preserve">, 2023 </w:t>
      </w:r>
    </w:p>
    <w:p w14:paraId="7798702D" w14:textId="77777777" w:rsidR="00C241EF" w:rsidRDefault="00C241EF" w:rsidP="00963229">
      <w:pPr>
        <w:pBdr>
          <w:bottom w:val="single" w:sz="12" w:space="0" w:color="auto"/>
        </w:pBdr>
        <w:jc w:val="center"/>
      </w:pPr>
    </w:p>
    <w:p w14:paraId="2E147765" w14:textId="77777777" w:rsidR="00C241EF" w:rsidRPr="00E07413" w:rsidRDefault="00C241EF" w:rsidP="00C241EF">
      <w:pPr>
        <w:jc w:val="center"/>
      </w:pPr>
    </w:p>
    <w:p w14:paraId="3DFED214" w14:textId="42584E7A" w:rsidR="00C241EF" w:rsidRPr="00EC209D" w:rsidRDefault="00C241EF" w:rsidP="002C36B9">
      <w:pPr>
        <w:spacing w:line="240" w:lineRule="auto"/>
        <w:ind w:left="14" w:hanging="14"/>
        <w:contextualSpacing/>
      </w:pPr>
      <w:r w:rsidRPr="008824F7">
        <w:t xml:space="preserve">Thank you for the opportunity to provide views on the performance of the </w:t>
      </w:r>
      <w:r>
        <w:t>Washington Metro Area Transit Authority</w:t>
      </w:r>
      <w:r>
        <w:t xml:space="preserve"> (WMATA), specifically policies governing the video that will be produced by the </w:t>
      </w:r>
      <w:r w:rsidR="002C36B9">
        <w:t xml:space="preserve">Transit Police </w:t>
      </w:r>
      <w:r>
        <w:t xml:space="preserve">body-worn </w:t>
      </w:r>
      <w:r>
        <w:t xml:space="preserve">cameras when they are issued later this year.  </w:t>
      </w:r>
      <w:r>
        <w:t xml:space="preserve"> </w:t>
      </w:r>
    </w:p>
    <w:p w14:paraId="10F5ED6F" w14:textId="77777777" w:rsidR="00C241EF" w:rsidRDefault="00C241EF" w:rsidP="002C36B9">
      <w:pPr>
        <w:spacing w:line="240" w:lineRule="auto"/>
        <w:ind w:left="14" w:hanging="14"/>
        <w:contextualSpacing/>
      </w:pPr>
    </w:p>
    <w:p w14:paraId="1CF04D4E" w14:textId="731D5C4D" w:rsidR="002C36B9" w:rsidRDefault="002C36B9" w:rsidP="002C36B9">
      <w:pPr>
        <w:spacing w:line="240" w:lineRule="auto"/>
        <w:ind w:left="14" w:hanging="14"/>
        <w:contextualSpacing/>
      </w:pPr>
      <w:r>
        <w:t>Public access to police v</w:t>
      </w:r>
      <w:r w:rsidR="00D114B6">
        <w:t xml:space="preserve">ideo </w:t>
      </w:r>
      <w:r>
        <w:t xml:space="preserve">has </w:t>
      </w:r>
      <w:r w:rsidR="00D114B6">
        <w:t xml:space="preserve">been in the news </w:t>
      </w:r>
      <w:r>
        <w:t>in D.C. and elsewhere f</w:t>
      </w:r>
      <w:r w:rsidR="00D114B6">
        <w:t xml:space="preserve">or some time. </w:t>
      </w:r>
      <w:r w:rsidR="00555A37">
        <w:t>P</w:t>
      </w:r>
      <w:r>
        <w:t>rompt and full access is now considered a best practice</w:t>
      </w:r>
      <w:r w:rsidR="00F3433B">
        <w:t xml:space="preserve"> especially as it sheds light on police conduct in controversial situations</w:t>
      </w:r>
      <w:r w:rsidR="00555A37">
        <w:t>, which benefits both police and the public</w:t>
      </w:r>
      <w:r w:rsidR="00F3433B">
        <w:t>.</w:t>
      </w:r>
      <w:r w:rsidR="007869E3">
        <w:rPr>
          <w:rStyle w:val="EndnoteReference"/>
        </w:rPr>
        <w:endnoteReference w:id="1"/>
      </w:r>
      <w:r w:rsidR="00F3433B">
        <w:t xml:space="preserve"> Secrecy has no place in developing BWC rules, yet that seems to be WMATA’s choice so far. It’s time for a change.</w:t>
      </w:r>
    </w:p>
    <w:p w14:paraId="266D672B" w14:textId="77777777" w:rsidR="002C36B9" w:rsidRDefault="002C36B9" w:rsidP="002C36B9">
      <w:pPr>
        <w:spacing w:line="240" w:lineRule="auto"/>
        <w:ind w:left="14" w:hanging="14"/>
        <w:contextualSpacing/>
      </w:pPr>
    </w:p>
    <w:p w14:paraId="22C18136" w14:textId="49D25E03" w:rsidR="00D114B6" w:rsidRDefault="00D114B6" w:rsidP="002C36B9">
      <w:pPr>
        <w:spacing w:line="240" w:lineRule="auto"/>
        <w:ind w:left="14" w:hanging="14"/>
        <w:contextualSpacing/>
      </w:pPr>
      <w:r>
        <w:t xml:space="preserve">Our attempts to </w:t>
      </w:r>
      <w:r w:rsidR="002C36B9">
        <w:t xml:space="preserve">learn about and </w:t>
      </w:r>
      <w:r>
        <w:t>discuss the policies WMATA is developing have all been fruitless:</w:t>
      </w:r>
    </w:p>
    <w:p w14:paraId="25165628" w14:textId="14194F73" w:rsidR="00D114B6" w:rsidRDefault="00D114B6" w:rsidP="00406746">
      <w:pPr>
        <w:pStyle w:val="ListParagraph"/>
        <w:numPr>
          <w:ilvl w:val="0"/>
          <w:numId w:val="2"/>
        </w:numPr>
        <w:spacing w:line="240" w:lineRule="auto"/>
        <w:ind w:left="360"/>
      </w:pPr>
      <w:r>
        <w:t>WMATA denied our request for the policy</w:t>
      </w:r>
      <w:r>
        <w:t xml:space="preserve"> with incorrect claims of exemption under its Public Access to Records Policy and denied our appeal.</w:t>
      </w:r>
      <w:r w:rsidR="00406746">
        <w:rPr>
          <w:rStyle w:val="EndnoteReference"/>
        </w:rPr>
        <w:endnoteReference w:id="2"/>
      </w:r>
    </w:p>
    <w:p w14:paraId="53DB9256" w14:textId="7FBBCE56" w:rsidR="00D114B6" w:rsidRDefault="00D114B6" w:rsidP="00406746">
      <w:pPr>
        <w:pStyle w:val="ListParagraph"/>
        <w:numPr>
          <w:ilvl w:val="0"/>
          <w:numId w:val="2"/>
        </w:numPr>
        <w:spacing w:line="240" w:lineRule="auto"/>
        <w:ind w:left="360"/>
      </w:pPr>
      <w:r>
        <w:t xml:space="preserve">We got no reply last year to our letters to the board, CEO, Riders Advisory and </w:t>
      </w:r>
      <w:r w:rsidR="002C36B9">
        <w:t xml:space="preserve">a </w:t>
      </w:r>
      <w:r>
        <w:t>D.C. board member. We tried a second time with the board and CEO and again heard nothing.</w:t>
      </w:r>
      <w:r w:rsidR="009E1730">
        <w:rPr>
          <w:rStyle w:val="EndnoteReference"/>
        </w:rPr>
        <w:endnoteReference w:id="3"/>
      </w:r>
    </w:p>
    <w:p w14:paraId="63326687" w14:textId="1B1B1E30" w:rsidR="00D114B6" w:rsidRDefault="00D114B6" w:rsidP="00406746">
      <w:pPr>
        <w:pStyle w:val="ListParagraph"/>
        <w:numPr>
          <w:ilvl w:val="0"/>
          <w:numId w:val="2"/>
        </w:numPr>
        <w:spacing w:line="240" w:lineRule="auto"/>
        <w:ind w:left="360"/>
      </w:pPr>
      <w:r>
        <w:t xml:space="preserve">The Department of Justice that funded the cameras and which reviewed the policy also denied our federal FOIA request. Our appeal was </w:t>
      </w:r>
      <w:r w:rsidR="00140656">
        <w:t>accepted,</w:t>
      </w:r>
      <w:r>
        <w:t xml:space="preserve"> and the agency was asked to review its claimed exemptions. We haven’t heard further.</w:t>
      </w:r>
    </w:p>
    <w:p w14:paraId="241DB6A7" w14:textId="6F9CF2D9" w:rsidR="00184FA8" w:rsidRDefault="00184FA8" w:rsidP="00382EFD">
      <w:pPr>
        <w:spacing w:line="240" w:lineRule="auto"/>
        <w:ind w:left="0" w:firstLine="0"/>
      </w:pPr>
      <w:r>
        <w:t xml:space="preserve">We ask that the Council in today’s hearing discuss </w:t>
      </w:r>
      <w:r w:rsidR="007869E3">
        <w:t xml:space="preserve">with the WMATA leadership </w:t>
      </w:r>
      <w:r>
        <w:t xml:space="preserve">the schedule for completing these policies and get their commitment that no body-cam video policy will be final until the board releases a draft for comment and holds at least one public hearing. </w:t>
      </w:r>
    </w:p>
    <w:p w14:paraId="08B887F9" w14:textId="77777777" w:rsidR="00963229" w:rsidRDefault="00963229" w:rsidP="00963229">
      <w:pPr>
        <w:spacing w:line="240" w:lineRule="auto"/>
        <w:ind w:left="0" w:firstLine="0"/>
      </w:pPr>
    </w:p>
    <w:p w14:paraId="2C137E9D" w14:textId="77777777" w:rsidR="00F3433B" w:rsidRDefault="00F3433B" w:rsidP="00963229">
      <w:pPr>
        <w:spacing w:line="240" w:lineRule="auto"/>
        <w:ind w:left="0" w:firstLine="0"/>
      </w:pPr>
    </w:p>
    <w:p w14:paraId="25CCA09F" w14:textId="77777777" w:rsidR="00D114B6" w:rsidRDefault="00D114B6" w:rsidP="00D114B6">
      <w:pPr>
        <w:pStyle w:val="ListParagraph"/>
        <w:spacing w:line="240" w:lineRule="auto"/>
        <w:ind w:firstLine="0"/>
      </w:pPr>
    </w:p>
    <w:p w14:paraId="16684D11" w14:textId="26613232" w:rsidR="002C36B9" w:rsidRPr="00963229" w:rsidRDefault="00963229" w:rsidP="002C36B9">
      <w:pPr>
        <w:spacing w:line="240" w:lineRule="auto"/>
        <w:rPr>
          <w:b/>
          <w:bCs/>
          <w:u w:val="single"/>
        </w:rPr>
      </w:pPr>
      <w:r w:rsidRPr="00963229">
        <w:rPr>
          <w:b/>
          <w:bCs/>
          <w:u w:val="single"/>
        </w:rPr>
        <w:t>Background on WMATA cameras</w:t>
      </w:r>
    </w:p>
    <w:p w14:paraId="3FC9E4B3" w14:textId="77777777" w:rsidR="002C36B9" w:rsidRDefault="002C36B9" w:rsidP="002C36B9">
      <w:pPr>
        <w:spacing w:line="240" w:lineRule="auto"/>
      </w:pPr>
    </w:p>
    <w:p w14:paraId="3359100F" w14:textId="68EFEDA9" w:rsidR="00C241EF" w:rsidRDefault="00C241EF" w:rsidP="00C241EF">
      <w:pPr>
        <w:spacing w:line="240" w:lineRule="auto"/>
        <w:ind w:left="-5"/>
      </w:pPr>
      <w:r>
        <w:t>In announcing the new Transit Police body-worn camera program June 28,</w:t>
      </w:r>
      <w:r w:rsidR="00963229">
        <w:t xml:space="preserve"> 2022,</w:t>
      </w:r>
      <w:r>
        <w:t xml:space="preserve"> the agency quoted Chief Michael Anzallo affirming a “focus on safety, transparency and building community partnerships.”</w:t>
      </w:r>
      <w:r w:rsidR="00963229">
        <w:rPr>
          <w:rStyle w:val="EndnoteReference"/>
        </w:rPr>
        <w:endnoteReference w:id="4"/>
      </w:r>
      <w:r>
        <w:t xml:space="preserve"> We look</w:t>
      </w:r>
      <w:r w:rsidR="00963229">
        <w:t>ed</w:t>
      </w:r>
      <w:r>
        <w:t xml:space="preserve"> forward to working with </w:t>
      </w:r>
      <w:r w:rsidR="00963229">
        <w:t xml:space="preserve">WMATA </w:t>
      </w:r>
      <w:r>
        <w:t xml:space="preserve">to ensure transparency with the goal of improving public confidence regarding Metro </w:t>
      </w:r>
      <w:r w:rsidR="00963229">
        <w:t xml:space="preserve">Transit </w:t>
      </w:r>
      <w:r>
        <w:t xml:space="preserve">Police operations. </w:t>
      </w:r>
    </w:p>
    <w:p w14:paraId="7AC9D2A8" w14:textId="77777777" w:rsidR="00C241EF" w:rsidRDefault="00C241EF" w:rsidP="00C241EF">
      <w:pPr>
        <w:spacing w:line="240" w:lineRule="auto"/>
        <w:ind w:left="-5"/>
      </w:pPr>
    </w:p>
    <w:p w14:paraId="34D4D7EA" w14:textId="18EDF3ED" w:rsidR="002B017D" w:rsidRDefault="00C241EF" w:rsidP="00C241EF">
      <w:pPr>
        <w:spacing w:line="240" w:lineRule="auto"/>
        <w:ind w:left="-5"/>
      </w:pPr>
      <w:r>
        <w:t xml:space="preserve">We </w:t>
      </w:r>
      <w:r w:rsidR="00963229">
        <w:t xml:space="preserve">did </w:t>
      </w:r>
      <w:r>
        <w:t xml:space="preserve">the same over the past seven years regarding the District’s </w:t>
      </w:r>
      <w:r w:rsidR="00963229">
        <w:t xml:space="preserve">Metropolitan Police Department (MPD) </w:t>
      </w:r>
      <w:r>
        <w:t>body-worn camera program. The D.C. Coalition has been there from the beginning, providing input as the M</w:t>
      </w:r>
      <w:r w:rsidR="00963229">
        <w:t xml:space="preserve">PD </w:t>
      </w:r>
      <w:r>
        <w:t xml:space="preserve">and D.C. Council set the legal framework governing use and retention of, and public access to, the video. We brought to the table information on best practices from our research on policy elsewhere. </w:t>
      </w:r>
      <w:r w:rsidR="002B017D">
        <w:t>Facts on the ground have changed greatly, but as an example of the information we can provide, se</w:t>
      </w:r>
      <w:r>
        <w:t>e our 2020 review</w:t>
      </w:r>
      <w:r w:rsidR="002B017D">
        <w:t xml:space="preserve"> of many </w:t>
      </w:r>
      <w:r w:rsidR="00140656">
        <w:t>states</w:t>
      </w:r>
      <w:r w:rsidR="002B017D">
        <w:t xml:space="preserve"> and cities’ approaches.</w:t>
      </w:r>
      <w:r w:rsidR="002B017D">
        <w:rPr>
          <w:rStyle w:val="EndnoteReference"/>
        </w:rPr>
        <w:endnoteReference w:id="5"/>
      </w:r>
      <w:r w:rsidR="002B017D">
        <w:t xml:space="preserve"> </w:t>
      </w:r>
      <w:r>
        <w:t xml:space="preserve"> </w:t>
      </w:r>
    </w:p>
    <w:p w14:paraId="1B2415CE" w14:textId="77777777" w:rsidR="002B017D" w:rsidRDefault="002B017D" w:rsidP="00C241EF">
      <w:pPr>
        <w:spacing w:line="240" w:lineRule="auto"/>
        <w:ind w:left="-5"/>
      </w:pPr>
    </w:p>
    <w:p w14:paraId="2BA3749D" w14:textId="15DC60EC" w:rsidR="00C241EF" w:rsidRDefault="00C241EF" w:rsidP="00C241EF">
      <w:pPr>
        <w:spacing w:line="240" w:lineRule="auto"/>
        <w:ind w:left="-5"/>
      </w:pPr>
      <w:r>
        <w:t xml:space="preserve">We have continued to monitor access to the </w:t>
      </w:r>
      <w:r w:rsidR="00F3433B">
        <w:t xml:space="preserve">District’s MPD </w:t>
      </w:r>
      <w:r>
        <w:t>video since 2015, when cameras were fully adopted, including making requests and evaluating issues raised as the program has matured.</w:t>
      </w:r>
      <w:r w:rsidR="00B813BC">
        <w:rPr>
          <w:rStyle w:val="EndnoteReference"/>
        </w:rPr>
        <w:endnoteReference w:id="6"/>
      </w:r>
    </w:p>
    <w:p w14:paraId="38BD6EFF" w14:textId="77777777" w:rsidR="00C241EF" w:rsidRDefault="00C241EF" w:rsidP="00C241EF">
      <w:pPr>
        <w:spacing w:line="240" w:lineRule="auto"/>
        <w:ind w:left="-5"/>
      </w:pPr>
    </w:p>
    <w:p w14:paraId="5657FCCF" w14:textId="674485D9" w:rsidR="00C241EF" w:rsidRDefault="00C241EF" w:rsidP="00C241EF">
      <w:pPr>
        <w:spacing w:line="240" w:lineRule="auto"/>
        <w:ind w:left="-5"/>
      </w:pPr>
      <w:r>
        <w:t xml:space="preserve">With </w:t>
      </w:r>
      <w:r w:rsidR="00F3433B">
        <w:t>support by the</w:t>
      </w:r>
      <w:r>
        <w:t xml:space="preserve"> Virginia Coalition</w:t>
      </w:r>
      <w:r w:rsidR="00F3433B">
        <w:t xml:space="preserve"> on Open Government</w:t>
      </w:r>
      <w:r>
        <w:t>, state law provides that police body-worn camera video is subject to the state’s regular FOIA statute. Maryland law is the same.</w:t>
      </w:r>
    </w:p>
    <w:p w14:paraId="0D423856" w14:textId="77777777" w:rsidR="00C241EF" w:rsidRDefault="00C241EF" w:rsidP="00C241EF">
      <w:pPr>
        <w:spacing w:after="0" w:line="240" w:lineRule="auto"/>
        <w:ind w:left="0" w:firstLine="0"/>
      </w:pPr>
    </w:p>
    <w:p w14:paraId="4077FB3B" w14:textId="478FC0AC" w:rsidR="00C241EF" w:rsidRDefault="00C241EF" w:rsidP="00C241EF">
      <w:pPr>
        <w:spacing w:after="0" w:line="240" w:lineRule="auto"/>
        <w:ind w:left="0" w:firstLine="0"/>
        <w:rPr>
          <w:color w:val="auto"/>
          <w:lang w:bidi="ar-SA"/>
        </w:rPr>
      </w:pPr>
      <w:r>
        <w:t>The June 28</w:t>
      </w:r>
      <w:r w:rsidR="00B813BC">
        <w:t>, 2022,</w:t>
      </w:r>
      <w:r>
        <w:t xml:space="preserve"> WMATA release noted progress on the “</w:t>
      </w:r>
      <w:r w:rsidRPr="003A435F">
        <w:rPr>
          <w:color w:val="auto"/>
          <w:lang w:bidi="ar-SA"/>
        </w:rPr>
        <w:t>necessary internal work to draft policies and procedures</w:t>
      </w:r>
      <w:r>
        <w:rPr>
          <w:color w:val="auto"/>
          <w:lang w:bidi="ar-SA"/>
        </w:rPr>
        <w:t>,” and that texts are “</w:t>
      </w:r>
      <w:r w:rsidRPr="000C50D6">
        <w:rPr>
          <w:color w:val="auto"/>
          <w:lang w:bidi="ar-SA"/>
        </w:rPr>
        <w:t>now being reviewed by DOJ</w:t>
      </w:r>
      <w:r>
        <w:rPr>
          <w:color w:val="auto"/>
          <w:lang w:bidi="ar-SA"/>
        </w:rPr>
        <w:t>.” It said WMATA would engage in “</w:t>
      </w:r>
      <w:r w:rsidRPr="000C50D6">
        <w:rPr>
          <w:color w:val="auto"/>
          <w:lang w:bidi="ar-SA"/>
        </w:rPr>
        <w:t>public outreach prior to program rollout</w:t>
      </w:r>
      <w:r>
        <w:rPr>
          <w:color w:val="auto"/>
          <w:lang w:bidi="ar-SA"/>
        </w:rPr>
        <w:t xml:space="preserve">” next year. </w:t>
      </w:r>
    </w:p>
    <w:p w14:paraId="55EDE4EB" w14:textId="77777777" w:rsidR="00C241EF" w:rsidRDefault="00C241EF" w:rsidP="00C241EF">
      <w:pPr>
        <w:spacing w:after="0" w:line="240" w:lineRule="auto"/>
        <w:ind w:left="0" w:firstLine="0"/>
        <w:rPr>
          <w:color w:val="auto"/>
          <w:lang w:bidi="ar-SA"/>
        </w:rPr>
      </w:pPr>
    </w:p>
    <w:p w14:paraId="2273E716" w14:textId="1C8C9E7B" w:rsidR="00C241EF" w:rsidRDefault="00B813BC" w:rsidP="00C241EF">
      <w:pPr>
        <w:spacing w:after="0" w:line="240" w:lineRule="auto"/>
        <w:ind w:left="0" w:firstLine="0"/>
        <w:rPr>
          <w:color w:val="auto"/>
          <w:lang w:bidi="ar-SA"/>
        </w:rPr>
      </w:pPr>
      <w:r>
        <w:rPr>
          <w:color w:val="auto"/>
          <w:lang w:bidi="ar-SA"/>
        </w:rPr>
        <w:t xml:space="preserve">That has </w:t>
      </w:r>
      <w:r w:rsidR="00140656">
        <w:rPr>
          <w:color w:val="auto"/>
          <w:lang w:bidi="ar-SA"/>
        </w:rPr>
        <w:t>not happened,</w:t>
      </w:r>
      <w:r>
        <w:rPr>
          <w:color w:val="auto"/>
          <w:lang w:bidi="ar-SA"/>
        </w:rPr>
        <w:t xml:space="preserve"> and w</w:t>
      </w:r>
      <w:r w:rsidR="00C241EF">
        <w:rPr>
          <w:color w:val="auto"/>
          <w:lang w:bidi="ar-SA"/>
        </w:rPr>
        <w:t xml:space="preserve">e have tried unsuccessfully to obtain the policies, so we have been unable to review what is covered and offer comments in support of maximum transparency. </w:t>
      </w:r>
    </w:p>
    <w:p w14:paraId="5374F70E" w14:textId="77777777" w:rsidR="00C241EF" w:rsidRDefault="00C241EF" w:rsidP="00C241EF">
      <w:pPr>
        <w:spacing w:after="0" w:line="240" w:lineRule="auto"/>
        <w:ind w:left="0" w:firstLine="0"/>
        <w:rPr>
          <w:color w:val="auto"/>
          <w:lang w:bidi="ar-SA"/>
        </w:rPr>
      </w:pPr>
    </w:p>
    <w:p w14:paraId="4936B98A" w14:textId="77777777" w:rsidR="00C241EF" w:rsidRPr="000C50D6" w:rsidRDefault="00C241EF" w:rsidP="00C241EF">
      <w:pPr>
        <w:spacing w:after="0" w:line="240" w:lineRule="auto"/>
        <w:ind w:left="0" w:firstLine="0"/>
        <w:rPr>
          <w:color w:val="auto"/>
          <w:lang w:bidi="ar-SA"/>
        </w:rPr>
      </w:pPr>
      <w:r w:rsidRPr="008D02AC">
        <w:rPr>
          <w:color w:val="auto"/>
          <w:lang w:bidi="ar-SA"/>
        </w:rPr>
        <w:t xml:space="preserve">While </w:t>
      </w:r>
      <w:r>
        <w:rPr>
          <w:color w:val="auto"/>
          <w:lang w:bidi="ar-SA"/>
        </w:rPr>
        <w:t xml:space="preserve">the </w:t>
      </w:r>
      <w:r w:rsidRPr="008D02AC">
        <w:rPr>
          <w:color w:val="auto"/>
          <w:lang w:bidi="ar-SA"/>
        </w:rPr>
        <w:t>V</w:t>
      </w:r>
      <w:r>
        <w:rPr>
          <w:color w:val="auto"/>
          <w:lang w:bidi="ar-SA"/>
        </w:rPr>
        <w:t xml:space="preserve">irginia Coalition for Open Government </w:t>
      </w:r>
      <w:r w:rsidRPr="008D02AC">
        <w:rPr>
          <w:color w:val="auto"/>
          <w:lang w:bidi="ar-SA"/>
        </w:rPr>
        <w:t xml:space="preserve">does not take a policy position on the specific process that should be used to develop rules governing access to </w:t>
      </w:r>
      <w:r>
        <w:rPr>
          <w:color w:val="auto"/>
          <w:lang w:bidi="ar-SA"/>
        </w:rPr>
        <w:t xml:space="preserve">Metro Transit Police </w:t>
      </w:r>
      <w:r w:rsidRPr="008D02AC">
        <w:rPr>
          <w:color w:val="auto"/>
          <w:lang w:bidi="ar-SA"/>
        </w:rPr>
        <w:t>body-worn camera video, it fully endorses any effort that maximizes public input, access</w:t>
      </w:r>
      <w:r>
        <w:rPr>
          <w:color w:val="auto"/>
          <w:lang w:bidi="ar-SA"/>
        </w:rPr>
        <w:t>,</w:t>
      </w:r>
      <w:r w:rsidRPr="008D02AC">
        <w:rPr>
          <w:color w:val="auto"/>
          <w:lang w:bidi="ar-SA"/>
        </w:rPr>
        <w:t xml:space="preserve"> and involvement.</w:t>
      </w:r>
    </w:p>
    <w:p w14:paraId="5378BAB9" w14:textId="77777777" w:rsidR="00C241EF" w:rsidRDefault="00C241EF" w:rsidP="00C241EF">
      <w:pPr>
        <w:spacing w:after="0" w:line="240" w:lineRule="auto"/>
        <w:ind w:left="0" w:firstLine="0"/>
        <w:rPr>
          <w:color w:val="auto"/>
          <w:lang w:bidi="ar-SA"/>
        </w:rPr>
      </w:pPr>
      <w:r>
        <w:rPr>
          <w:color w:val="auto"/>
          <w:lang w:bidi="ar-SA"/>
        </w:rPr>
        <w:t xml:space="preserve"> </w:t>
      </w:r>
    </w:p>
    <w:p w14:paraId="59A03202" w14:textId="77777777" w:rsidR="00C241EF" w:rsidRPr="000711CF" w:rsidRDefault="00C241EF" w:rsidP="00C241EF">
      <w:pPr>
        <w:spacing w:after="0" w:line="240" w:lineRule="auto"/>
        <w:ind w:left="0" w:firstLine="0"/>
        <w:contextualSpacing/>
        <w:rPr>
          <w:b/>
          <w:bCs/>
          <w:u w:val="single"/>
        </w:rPr>
      </w:pPr>
      <w:r w:rsidRPr="000711CF">
        <w:rPr>
          <w:b/>
          <w:bCs/>
          <w:u w:val="single"/>
        </w:rPr>
        <w:t xml:space="preserve">Cameras raise issues that </w:t>
      </w:r>
      <w:r>
        <w:rPr>
          <w:b/>
          <w:bCs/>
          <w:u w:val="single"/>
        </w:rPr>
        <w:t xml:space="preserve">require </w:t>
      </w:r>
      <w:r w:rsidRPr="000711CF">
        <w:rPr>
          <w:b/>
          <w:bCs/>
          <w:u w:val="single"/>
        </w:rPr>
        <w:t>public discussion</w:t>
      </w:r>
    </w:p>
    <w:p w14:paraId="71AB58A8" w14:textId="77777777" w:rsidR="00C241EF" w:rsidRPr="000711CF" w:rsidRDefault="00C241EF" w:rsidP="00C241EF">
      <w:pPr>
        <w:spacing w:after="383" w:line="240" w:lineRule="auto"/>
        <w:ind w:left="0" w:firstLine="0"/>
        <w:contextualSpacing/>
        <w:rPr>
          <w:u w:val="single"/>
        </w:rPr>
      </w:pPr>
    </w:p>
    <w:p w14:paraId="55750E61" w14:textId="35958843" w:rsidR="00C241EF" w:rsidRDefault="00F3433B" w:rsidP="00C241EF">
      <w:pPr>
        <w:spacing w:after="383" w:line="240" w:lineRule="auto"/>
        <w:ind w:left="0" w:firstLine="0"/>
        <w:contextualSpacing/>
      </w:pPr>
      <w:r>
        <w:t>P</w:t>
      </w:r>
      <w:r w:rsidR="00C241EF">
        <w:t xml:space="preserve">olice agencies face many issues in adopting body-worn cameras. These include: </w:t>
      </w:r>
    </w:p>
    <w:p w14:paraId="06B58811" w14:textId="77777777" w:rsidR="00C241EF" w:rsidRDefault="00C241EF" w:rsidP="00C241EF">
      <w:pPr>
        <w:numPr>
          <w:ilvl w:val="0"/>
          <w:numId w:val="1"/>
        </w:numPr>
        <w:spacing w:line="240" w:lineRule="auto"/>
        <w:ind w:hanging="361"/>
      </w:pPr>
      <w:r>
        <w:t xml:space="preserve">Rules for use of the equipment, such as mandatory or discretionary activation, </w:t>
      </w:r>
      <w:proofErr w:type="gramStart"/>
      <w:r>
        <w:t>times</w:t>
      </w:r>
      <w:proofErr w:type="gramEnd"/>
      <w:r>
        <w:t xml:space="preserve"> and places not to be recorded (such as inside a private house where no criminal activity is taking place), whether/when cameras may be deactivated, sanctions for improper use and failure to activate, and retention of video </w:t>
      </w:r>
    </w:p>
    <w:p w14:paraId="7D31AC12" w14:textId="77777777" w:rsidR="00C241EF" w:rsidRDefault="00C241EF" w:rsidP="00C241EF">
      <w:pPr>
        <w:numPr>
          <w:ilvl w:val="0"/>
          <w:numId w:val="1"/>
        </w:numPr>
        <w:spacing w:line="240" w:lineRule="auto"/>
        <w:ind w:hanging="361"/>
      </w:pPr>
      <w:r>
        <w:t xml:space="preserve">Rules for internal access such as by officers writing reports about their own conduct that is under review, complaint investigators, auditors, supervisors </w:t>
      </w:r>
    </w:p>
    <w:p w14:paraId="75A31BB5" w14:textId="77777777" w:rsidR="00C241EF" w:rsidRDefault="00C241EF" w:rsidP="00C241EF">
      <w:pPr>
        <w:numPr>
          <w:ilvl w:val="0"/>
          <w:numId w:val="1"/>
        </w:numPr>
        <w:spacing w:line="240" w:lineRule="auto"/>
        <w:ind w:hanging="361"/>
      </w:pPr>
      <w:r>
        <w:t>Mandatory release requirements in situations of high public interest (officer-involved shootings, significant other uses of force)</w:t>
      </w:r>
    </w:p>
    <w:p w14:paraId="43D942C0" w14:textId="77777777" w:rsidR="00F3433B" w:rsidRDefault="00F3433B" w:rsidP="00F3433B">
      <w:pPr>
        <w:spacing w:line="240" w:lineRule="auto"/>
        <w:ind w:left="361" w:firstLine="0"/>
      </w:pPr>
    </w:p>
    <w:p w14:paraId="1A751B15" w14:textId="77777777" w:rsidR="00184FA8" w:rsidRDefault="00184FA8" w:rsidP="00184FA8">
      <w:pPr>
        <w:spacing w:line="240" w:lineRule="auto"/>
        <w:ind w:left="361" w:firstLine="0"/>
      </w:pPr>
    </w:p>
    <w:p w14:paraId="199CA2DD" w14:textId="77777777" w:rsidR="00184FA8" w:rsidRDefault="00184FA8" w:rsidP="00184FA8">
      <w:pPr>
        <w:pStyle w:val="ListParagraph"/>
      </w:pPr>
    </w:p>
    <w:p w14:paraId="65D484BA" w14:textId="77777777" w:rsidR="00184FA8" w:rsidRDefault="00184FA8" w:rsidP="00184FA8">
      <w:pPr>
        <w:spacing w:line="240" w:lineRule="auto"/>
        <w:ind w:left="0" w:firstLine="0"/>
      </w:pPr>
    </w:p>
    <w:p w14:paraId="0D6AE19F" w14:textId="2920AE89" w:rsidR="00C241EF" w:rsidRDefault="00C241EF" w:rsidP="00C241EF">
      <w:pPr>
        <w:numPr>
          <w:ilvl w:val="0"/>
          <w:numId w:val="1"/>
        </w:numPr>
        <w:spacing w:line="240" w:lineRule="auto"/>
        <w:ind w:hanging="361"/>
      </w:pPr>
      <w:r>
        <w:t>Rules for public access, including general requests, processing deadlines, privacy protection rules including allowable redactions or any exceptional situations where video is not to be released, and fees that may be imposed</w:t>
      </w:r>
    </w:p>
    <w:p w14:paraId="585E55C5" w14:textId="0C487D86" w:rsidR="00C241EF" w:rsidRDefault="00C241EF" w:rsidP="00C241EF">
      <w:pPr>
        <w:numPr>
          <w:ilvl w:val="0"/>
          <w:numId w:val="1"/>
        </w:numPr>
        <w:spacing w:line="240" w:lineRule="auto"/>
        <w:ind w:hanging="361"/>
      </w:pPr>
      <w:r>
        <w:t>Requirements for regular public report of data on, and impact evaluation of, the camera program</w:t>
      </w:r>
      <w:r w:rsidR="009E1730">
        <w:t xml:space="preserve"> </w:t>
      </w:r>
      <w:r w:rsidR="00D11B80">
        <w:t xml:space="preserve">such as equipment reliability and officer adherence to usage rules, video use in officer training and complaint review, and </w:t>
      </w:r>
      <w:r w:rsidR="009E1730">
        <w:t>including as D</w:t>
      </w:r>
      <w:r w:rsidR="00D11B80">
        <w:t xml:space="preserve">.C. </w:t>
      </w:r>
      <w:r w:rsidR="009E1730">
        <w:t>just passed, reporting on time and costs for public access</w:t>
      </w:r>
      <w:r w:rsidR="00D11B80">
        <w:t>;</w:t>
      </w:r>
      <w:r w:rsidR="009E1730">
        <w:rPr>
          <w:rStyle w:val="EndnoteReference"/>
        </w:rPr>
        <w:endnoteReference w:id="7"/>
      </w:r>
      <w:r w:rsidR="00D11B80" w:rsidRPr="00D11B80">
        <w:t xml:space="preserve"> </w:t>
      </w:r>
      <w:r w:rsidR="00D11B80">
        <w:t xml:space="preserve">(and </w:t>
      </w:r>
      <w:r w:rsidR="00D11B80">
        <w:t xml:space="preserve">tracking use of force and complaints is always </w:t>
      </w:r>
      <w:proofErr w:type="gramStart"/>
      <w:r w:rsidR="00D11B80">
        <w:t>wise</w:t>
      </w:r>
      <w:proofErr w:type="gramEnd"/>
      <w:r w:rsidR="00D11B80">
        <w:t xml:space="preserve"> so we assume it’s happening already</w:t>
      </w:r>
      <w:r w:rsidR="00D11B80">
        <w:t>)</w:t>
      </w:r>
    </w:p>
    <w:p w14:paraId="1587D544" w14:textId="77777777" w:rsidR="004D63E6" w:rsidRDefault="004D63E6" w:rsidP="00F3433B">
      <w:pPr>
        <w:spacing w:line="240" w:lineRule="auto"/>
        <w:ind w:left="0" w:firstLine="0"/>
      </w:pPr>
    </w:p>
    <w:p w14:paraId="3718F42F" w14:textId="6A8877C6" w:rsidR="00C241EF" w:rsidRDefault="00C241EF" w:rsidP="00C241EF">
      <w:pPr>
        <w:spacing w:line="240" w:lineRule="auto"/>
        <w:ind w:left="-5"/>
      </w:pPr>
      <w:r>
        <w:t xml:space="preserve">In 2015, </w:t>
      </w:r>
      <w:r w:rsidR="004D63E6">
        <w:t xml:space="preserve">D.C. </w:t>
      </w:r>
      <w:r>
        <w:t xml:space="preserve">Mayor Muriel Bowser proposed that MPD camera video be kept secret. The D.C. Council </w:t>
      </w:r>
      <w:r w:rsidR="00F3433B">
        <w:t>disagreed and pushed for r</w:t>
      </w:r>
      <w:r>
        <w:t>ules adopted with broad engagemen</w:t>
      </w:r>
      <w:r w:rsidR="00F3433B">
        <w:t xml:space="preserve">t, </w:t>
      </w:r>
      <w:r w:rsidR="00307F6E">
        <w:t>passing</w:t>
      </w:r>
      <w:r w:rsidR="00F3433B">
        <w:t xml:space="preserve"> </w:t>
      </w:r>
      <w:r>
        <w:t>legislat</w:t>
      </w:r>
      <w:r w:rsidR="00F3433B">
        <w:t>ion outlining</w:t>
      </w:r>
      <w:r>
        <w:t xml:space="preserve"> a process for Council review. </w:t>
      </w:r>
      <w:r w:rsidR="00F3433B">
        <w:t>See details in</w:t>
      </w:r>
      <w:r>
        <w:t xml:space="preserve"> the </w:t>
      </w:r>
      <w:r w:rsidR="004D63E6">
        <w:t xml:space="preserve">November 2015 </w:t>
      </w:r>
      <w:r>
        <w:t>Council committee report that accompanied the resulting draft rules that passed unanimously.</w:t>
      </w:r>
      <w:r w:rsidR="00D11B80">
        <w:rPr>
          <w:rStyle w:val="EndnoteReference"/>
        </w:rPr>
        <w:endnoteReference w:id="8"/>
      </w:r>
    </w:p>
    <w:p w14:paraId="535C883D" w14:textId="77777777" w:rsidR="00C241EF" w:rsidRDefault="00C241EF" w:rsidP="00C241EF">
      <w:pPr>
        <w:spacing w:line="240" w:lineRule="auto"/>
        <w:ind w:left="-5"/>
      </w:pPr>
    </w:p>
    <w:p w14:paraId="22196F81" w14:textId="6FDFAE93" w:rsidR="004D63E6" w:rsidRDefault="00C241EF" w:rsidP="00C241EF">
      <w:pPr>
        <w:spacing w:line="240" w:lineRule="auto"/>
        <w:ind w:left="0" w:firstLine="0"/>
      </w:pPr>
      <w:r w:rsidRPr="0014340C">
        <w:t>In the end, D.C. police body-worn camera video has been made available to the public under the D.C. Freedom of Information Act, which generally treats BWC videos like any other public record, subject to mandatory disclosure unless its content justifies withholding under one of the existing</w:t>
      </w:r>
      <w:r w:rsidR="00307F6E">
        <w:t xml:space="preserve"> </w:t>
      </w:r>
      <w:r w:rsidRPr="0014340C">
        <w:t>exemptions in the statute. There is a</w:t>
      </w:r>
      <w:r w:rsidR="004D63E6">
        <w:t>lso a</w:t>
      </w:r>
      <w:r w:rsidRPr="0014340C">
        <w:t xml:space="preserve"> narrow </w:t>
      </w:r>
      <w:r w:rsidR="004D63E6">
        <w:t xml:space="preserve">statutory </w:t>
      </w:r>
      <w:r w:rsidRPr="0014340C">
        <w:t xml:space="preserve">exception for </w:t>
      </w:r>
      <w:r w:rsidR="004D63E6">
        <w:t xml:space="preserve">BWC video of </w:t>
      </w:r>
      <w:r w:rsidRPr="0014340C">
        <w:t xml:space="preserve">certain incidents </w:t>
      </w:r>
      <w:r w:rsidR="004D63E6">
        <w:t xml:space="preserve">including </w:t>
      </w:r>
      <w:r w:rsidRPr="0014340C">
        <w:t>sexual assault, domestic violence, and stalking.</w:t>
      </w:r>
      <w:r w:rsidR="00D11B80">
        <w:rPr>
          <w:rStyle w:val="EndnoteReference"/>
        </w:rPr>
        <w:endnoteReference w:id="9"/>
      </w:r>
    </w:p>
    <w:p w14:paraId="151CE72D" w14:textId="77777777" w:rsidR="004D63E6" w:rsidRDefault="004D63E6" w:rsidP="00C241EF">
      <w:pPr>
        <w:spacing w:line="240" w:lineRule="auto"/>
        <w:ind w:left="0" w:firstLine="0"/>
      </w:pPr>
    </w:p>
    <w:p w14:paraId="0CCB22B9" w14:textId="3587AE4E" w:rsidR="00C241EF" w:rsidRPr="00D341DD" w:rsidRDefault="00C241EF" w:rsidP="00C241EF">
      <w:pPr>
        <w:spacing w:line="240" w:lineRule="auto"/>
        <w:ind w:left="0" w:firstLine="0"/>
      </w:pPr>
      <w:r w:rsidRPr="0014340C">
        <w:t xml:space="preserve">While the District’s approach to BWC </w:t>
      </w:r>
      <w:r>
        <w:t>video access</w:t>
      </w:r>
      <w:r w:rsidRPr="0014340C">
        <w:t xml:space="preserve"> is far from perfect</w:t>
      </w:r>
      <w:r>
        <w:t>,</w:t>
      </w:r>
      <w:r w:rsidRPr="0014340C">
        <w:t xml:space="preserve"> both </w:t>
      </w:r>
      <w:r>
        <w:t xml:space="preserve">on </w:t>
      </w:r>
      <w:r w:rsidRPr="0014340C">
        <w:t>paper and in practice</w:t>
      </w:r>
      <w:r>
        <w:t xml:space="preserve"> (w</w:t>
      </w:r>
      <w:r w:rsidRPr="0014340C">
        <w:t xml:space="preserve">here it </w:t>
      </w:r>
      <w:r>
        <w:t xml:space="preserve">has proved to be a </w:t>
      </w:r>
      <w:r w:rsidR="004D63E6">
        <w:t xml:space="preserve">big </w:t>
      </w:r>
      <w:r w:rsidRPr="0014340C">
        <w:t xml:space="preserve">struggle to enforce the public’s general right to </w:t>
      </w:r>
      <w:r>
        <w:t xml:space="preserve">rapid access at reasonable cost to interpretable </w:t>
      </w:r>
      <w:r w:rsidRPr="0014340C">
        <w:t>footage</w:t>
      </w:r>
      <w:r>
        <w:t>),</w:t>
      </w:r>
      <w:r w:rsidRPr="0014340C">
        <w:t xml:space="preserve"> its rules at least have the legitimacy that comes from review by both legislative and executive branches and months of community consultation. Administrative rulemaking alone lacks this powerful affirmation.</w:t>
      </w:r>
    </w:p>
    <w:p w14:paraId="67FFDCDC" w14:textId="77777777" w:rsidR="00C241EF" w:rsidRDefault="00C241EF" w:rsidP="00C241EF">
      <w:pPr>
        <w:spacing w:line="240" w:lineRule="auto"/>
        <w:ind w:left="-5"/>
      </w:pPr>
    </w:p>
    <w:p w14:paraId="5DC8D2F7" w14:textId="77777777" w:rsidR="00C241EF" w:rsidRPr="0057526A" w:rsidRDefault="00C241EF" w:rsidP="00C241EF">
      <w:pPr>
        <w:spacing w:line="240" w:lineRule="auto"/>
        <w:ind w:left="-5"/>
        <w:rPr>
          <w:b/>
          <w:bCs/>
          <w:u w:val="single"/>
        </w:rPr>
      </w:pPr>
      <w:r w:rsidRPr="0057526A">
        <w:rPr>
          <w:b/>
          <w:bCs/>
          <w:u w:val="single"/>
        </w:rPr>
        <w:t>WMATA should adopt an inclusive process for setting camera policy</w:t>
      </w:r>
    </w:p>
    <w:p w14:paraId="7C522EE9" w14:textId="77777777" w:rsidR="00C241EF" w:rsidRDefault="00C241EF" w:rsidP="00C241EF">
      <w:pPr>
        <w:spacing w:line="240" w:lineRule="auto"/>
        <w:ind w:left="-5"/>
      </w:pPr>
    </w:p>
    <w:p w14:paraId="6641339B" w14:textId="5A8A44EC" w:rsidR="004D63E6" w:rsidRDefault="00C241EF" w:rsidP="00C241EF">
      <w:pPr>
        <w:pStyle w:val="CommentText"/>
        <w:rPr>
          <w:sz w:val="24"/>
          <w:szCs w:val="24"/>
        </w:rPr>
      </w:pPr>
      <w:r w:rsidRPr="002A1FC0">
        <w:rPr>
          <w:sz w:val="24"/>
          <w:szCs w:val="24"/>
        </w:rPr>
        <w:t xml:space="preserve">The process </w:t>
      </w:r>
      <w:r>
        <w:rPr>
          <w:sz w:val="24"/>
          <w:szCs w:val="24"/>
        </w:rPr>
        <w:t xml:space="preserve">WMATA has </w:t>
      </w:r>
      <w:r w:rsidRPr="002A1FC0">
        <w:rPr>
          <w:sz w:val="24"/>
          <w:szCs w:val="24"/>
        </w:rPr>
        <w:t xml:space="preserve">embarked on, involving extensive in-house development followed by federal sponsor review, but </w:t>
      </w:r>
      <w:r w:rsidR="004D63E6">
        <w:rPr>
          <w:sz w:val="24"/>
          <w:szCs w:val="24"/>
        </w:rPr>
        <w:t xml:space="preserve">apparently </w:t>
      </w:r>
      <w:r w:rsidRPr="002A1FC0">
        <w:rPr>
          <w:sz w:val="24"/>
          <w:szCs w:val="24"/>
        </w:rPr>
        <w:t xml:space="preserve">lacking a wide range of expert and consumer perspectives, is inefficient and almost certainly will not achieve </w:t>
      </w:r>
      <w:r w:rsidR="00F3433B">
        <w:rPr>
          <w:sz w:val="24"/>
          <w:szCs w:val="24"/>
        </w:rPr>
        <w:t xml:space="preserve">the agency’s </w:t>
      </w:r>
      <w:r w:rsidRPr="002A1FC0">
        <w:rPr>
          <w:sz w:val="24"/>
          <w:szCs w:val="24"/>
        </w:rPr>
        <w:t>stated goal</w:t>
      </w:r>
      <w:r w:rsidR="00F3433B">
        <w:rPr>
          <w:sz w:val="24"/>
          <w:szCs w:val="24"/>
        </w:rPr>
        <w:t xml:space="preserve"> of enhanced public trust</w:t>
      </w:r>
      <w:r w:rsidRPr="002A1FC0">
        <w:rPr>
          <w:sz w:val="24"/>
          <w:szCs w:val="24"/>
        </w:rPr>
        <w:t xml:space="preserve">. </w:t>
      </w:r>
      <w:r w:rsidR="00F3433B">
        <w:rPr>
          <w:sz w:val="24"/>
          <w:szCs w:val="24"/>
        </w:rPr>
        <w:t xml:space="preserve">Nor does it build on accumulated </w:t>
      </w:r>
      <w:r w:rsidR="007D07F5">
        <w:rPr>
          <w:sz w:val="24"/>
          <w:szCs w:val="24"/>
        </w:rPr>
        <w:t xml:space="preserve">wisdom. </w:t>
      </w:r>
      <w:r w:rsidR="004D63E6">
        <w:rPr>
          <w:sz w:val="24"/>
          <w:szCs w:val="24"/>
        </w:rPr>
        <w:t>D.C. WMATA board member Tracy Loh suggested her experience six years ago in Mt. Rainier, Md.</w:t>
      </w:r>
      <w:r w:rsidR="007D07F5">
        <w:rPr>
          <w:sz w:val="24"/>
          <w:szCs w:val="24"/>
        </w:rPr>
        <w:t>, could be helpful but there is much more since then.</w:t>
      </w:r>
      <w:r w:rsidR="004D63E6">
        <w:rPr>
          <w:rStyle w:val="EndnoteReference"/>
          <w:sz w:val="24"/>
          <w:szCs w:val="24"/>
        </w:rPr>
        <w:endnoteReference w:id="10"/>
      </w:r>
      <w:r w:rsidR="004D63E6">
        <w:rPr>
          <w:sz w:val="24"/>
          <w:szCs w:val="24"/>
        </w:rPr>
        <w:t xml:space="preserve"> </w:t>
      </w:r>
    </w:p>
    <w:p w14:paraId="4C87A0C2" w14:textId="77777777" w:rsidR="004D63E6" w:rsidRDefault="004D63E6" w:rsidP="00C241EF">
      <w:pPr>
        <w:pStyle w:val="CommentText"/>
        <w:rPr>
          <w:sz w:val="24"/>
          <w:szCs w:val="24"/>
        </w:rPr>
      </w:pPr>
    </w:p>
    <w:p w14:paraId="77DE9109" w14:textId="60B133AF" w:rsidR="00C241EF" w:rsidRPr="002A1FC0" w:rsidRDefault="00C241EF" w:rsidP="00C241EF">
      <w:pPr>
        <w:pStyle w:val="CommentText"/>
        <w:rPr>
          <w:sz w:val="24"/>
          <w:szCs w:val="24"/>
        </w:rPr>
      </w:pPr>
      <w:r w:rsidRPr="002A1FC0">
        <w:rPr>
          <w:sz w:val="24"/>
          <w:szCs w:val="24"/>
        </w:rPr>
        <w:t xml:space="preserve">By the time </w:t>
      </w:r>
      <w:r w:rsidR="007D07F5">
        <w:rPr>
          <w:sz w:val="24"/>
          <w:szCs w:val="24"/>
        </w:rPr>
        <w:t xml:space="preserve">the WMATA board reaches </w:t>
      </w:r>
      <w:r w:rsidRPr="002A1FC0">
        <w:rPr>
          <w:sz w:val="24"/>
          <w:szCs w:val="24"/>
        </w:rPr>
        <w:t xml:space="preserve">the “public outreach” stage, </w:t>
      </w:r>
      <w:r>
        <w:rPr>
          <w:sz w:val="24"/>
          <w:szCs w:val="24"/>
        </w:rPr>
        <w:t>WMATA</w:t>
      </w:r>
      <w:r w:rsidRPr="002A1FC0">
        <w:rPr>
          <w:sz w:val="24"/>
          <w:szCs w:val="24"/>
        </w:rPr>
        <w:t xml:space="preserve"> staff will have invested</w:t>
      </w:r>
      <w:r>
        <w:rPr>
          <w:sz w:val="24"/>
          <w:szCs w:val="24"/>
        </w:rPr>
        <w:t xml:space="preserve"> </w:t>
      </w:r>
      <w:r w:rsidRPr="002A1FC0">
        <w:rPr>
          <w:sz w:val="24"/>
          <w:szCs w:val="24"/>
        </w:rPr>
        <w:t xml:space="preserve">much time and effort in their proposed policies and the time until “rollout” will be short. By that </w:t>
      </w:r>
      <w:r>
        <w:rPr>
          <w:sz w:val="24"/>
          <w:szCs w:val="24"/>
        </w:rPr>
        <w:t>point</w:t>
      </w:r>
      <w:r w:rsidRPr="002A1FC0">
        <w:rPr>
          <w:sz w:val="24"/>
          <w:szCs w:val="24"/>
        </w:rPr>
        <w:t>, changes proposed by members of the public that would better serve the public interest, even minor changes, will meet significant internal resistance. That result would be a disservice to WMATA and to the public.</w:t>
      </w:r>
    </w:p>
    <w:p w14:paraId="306EF1CB" w14:textId="77777777" w:rsidR="00C241EF" w:rsidRDefault="00C241EF" w:rsidP="00C241EF">
      <w:pPr>
        <w:spacing w:line="240" w:lineRule="auto"/>
        <w:ind w:left="-5"/>
      </w:pPr>
    </w:p>
    <w:p w14:paraId="2B3EC566" w14:textId="464F96DA" w:rsidR="00C241EF" w:rsidRDefault="00C241EF" w:rsidP="00C241EF">
      <w:pPr>
        <w:spacing w:line="240" w:lineRule="auto"/>
        <w:ind w:left="-5"/>
      </w:pPr>
      <w:r>
        <w:t xml:space="preserve">We recommend an alternate process for WMATA, since the interests involved are so diverse that rules on cameras should not be made by police alone. The WMATA board should publish draft policies and hold one or more public hearings to </w:t>
      </w:r>
      <w:r w:rsidR="007D07F5">
        <w:t xml:space="preserve">collect views </w:t>
      </w:r>
      <w:r>
        <w:t xml:space="preserve">about this step </w:t>
      </w:r>
      <w:r w:rsidR="007D07F5">
        <w:t xml:space="preserve">forward </w:t>
      </w:r>
      <w:r>
        <w:t xml:space="preserve">in police transparency. The board will benefit from the participation of a wide range of expert and consumer perspectives, such as transit riders, police and civic organizations, attorneys, news media, and criminal justice researchers, all engaged with the board in a public-facing dialogue.  </w:t>
      </w:r>
    </w:p>
    <w:p w14:paraId="2227ACED" w14:textId="77777777" w:rsidR="00C241EF" w:rsidRDefault="00C241EF" w:rsidP="00C241EF">
      <w:pPr>
        <w:spacing w:after="20" w:line="240" w:lineRule="auto"/>
        <w:ind w:left="0" w:firstLine="0"/>
      </w:pPr>
      <w:r>
        <w:t xml:space="preserve"> </w:t>
      </w:r>
    </w:p>
    <w:p w14:paraId="1A401C96" w14:textId="77777777" w:rsidR="007D07F5" w:rsidRDefault="007D07F5" w:rsidP="00C241EF">
      <w:pPr>
        <w:spacing w:line="240" w:lineRule="auto"/>
        <w:ind w:left="0" w:hanging="14"/>
        <w:rPr>
          <w:color w:val="222222"/>
        </w:rPr>
      </w:pPr>
    </w:p>
    <w:p w14:paraId="0555C903" w14:textId="77777777" w:rsidR="007D07F5" w:rsidRDefault="007D07F5" w:rsidP="00C241EF">
      <w:pPr>
        <w:spacing w:line="240" w:lineRule="auto"/>
        <w:ind w:left="0" w:hanging="14"/>
        <w:rPr>
          <w:color w:val="222222"/>
        </w:rPr>
      </w:pPr>
    </w:p>
    <w:p w14:paraId="6721D5E3" w14:textId="7F9992C3" w:rsidR="00C241EF" w:rsidRPr="0014340C" w:rsidRDefault="00C241EF" w:rsidP="00C241EF">
      <w:pPr>
        <w:spacing w:line="240" w:lineRule="auto"/>
        <w:ind w:left="0" w:hanging="14"/>
        <w:rPr>
          <w:color w:val="222222"/>
        </w:rPr>
      </w:pPr>
      <w:r w:rsidRPr="0014340C">
        <w:rPr>
          <w:color w:val="222222"/>
        </w:rPr>
        <w:t xml:space="preserve">Unfortunately, although police accountability </w:t>
      </w:r>
      <w:r w:rsidR="007D07F5">
        <w:rPr>
          <w:color w:val="222222"/>
        </w:rPr>
        <w:t>remains</w:t>
      </w:r>
      <w:r w:rsidRPr="0014340C">
        <w:rPr>
          <w:color w:val="222222"/>
        </w:rPr>
        <w:t xml:space="preserve"> a major public issue, </w:t>
      </w:r>
      <w:r w:rsidR="007D07F5">
        <w:rPr>
          <w:color w:val="222222"/>
        </w:rPr>
        <w:t xml:space="preserve">video </w:t>
      </w:r>
      <w:r w:rsidRPr="0014340C">
        <w:rPr>
          <w:color w:val="222222"/>
        </w:rPr>
        <w:t xml:space="preserve">access limits </w:t>
      </w:r>
      <w:r w:rsidR="007D07F5">
        <w:rPr>
          <w:color w:val="222222"/>
        </w:rPr>
        <w:t xml:space="preserve">persist. </w:t>
      </w:r>
      <w:r w:rsidRPr="0014340C">
        <w:rPr>
          <w:color w:val="222222"/>
        </w:rPr>
        <w:t>Privacy advocates and representatives of police nationwide have repeatedly opposed public access to body-cam videos, citing potential threats to officers or claims that union contracts shield “personnel records” from public view.</w:t>
      </w:r>
    </w:p>
    <w:p w14:paraId="181764D8" w14:textId="77777777" w:rsidR="00C241EF" w:rsidRDefault="00C241EF" w:rsidP="00C241EF">
      <w:pPr>
        <w:spacing w:line="240" w:lineRule="auto"/>
        <w:ind w:left="-5"/>
        <w:rPr>
          <w:color w:val="222222"/>
        </w:rPr>
      </w:pPr>
    </w:p>
    <w:p w14:paraId="3E4191E4" w14:textId="41A04BF5" w:rsidR="00140656" w:rsidRDefault="00C241EF" w:rsidP="007D07F5">
      <w:pPr>
        <w:spacing w:line="240" w:lineRule="auto"/>
        <w:ind w:left="-5"/>
        <w:rPr>
          <w:color w:val="222222"/>
        </w:rPr>
      </w:pPr>
      <w:r>
        <w:rPr>
          <w:color w:val="222222"/>
        </w:rPr>
        <w:t xml:space="preserve">Open government advocates have rejected those arguments generally, and specifically in the jurisdictions WMATA serves, because law enforcement and privacy exemptions in the D.C., </w:t>
      </w:r>
    </w:p>
    <w:p w14:paraId="54848437" w14:textId="04A990E7" w:rsidR="00C241EF" w:rsidRDefault="00C241EF" w:rsidP="00C241EF">
      <w:pPr>
        <w:spacing w:line="240" w:lineRule="auto"/>
        <w:ind w:left="-5"/>
        <w:rPr>
          <w:color w:val="222222"/>
        </w:rPr>
      </w:pPr>
      <w:r>
        <w:rPr>
          <w:color w:val="222222"/>
        </w:rPr>
        <w:t xml:space="preserve">Maryland, and Virginia public records laws </w:t>
      </w:r>
      <w:r w:rsidR="007D07F5">
        <w:rPr>
          <w:color w:val="222222"/>
        </w:rPr>
        <w:t xml:space="preserve">have for decades </w:t>
      </w:r>
      <w:r>
        <w:rPr>
          <w:color w:val="222222"/>
        </w:rPr>
        <w:t>provide</w:t>
      </w:r>
      <w:r w:rsidR="007D07F5">
        <w:rPr>
          <w:color w:val="222222"/>
        </w:rPr>
        <w:t>d</w:t>
      </w:r>
      <w:r>
        <w:rPr>
          <w:color w:val="222222"/>
        </w:rPr>
        <w:t xml:space="preserve"> ample protection for </w:t>
      </w:r>
      <w:r w:rsidR="007D07F5">
        <w:rPr>
          <w:color w:val="222222"/>
        </w:rPr>
        <w:t xml:space="preserve">those </w:t>
      </w:r>
      <w:r w:rsidR="00366181">
        <w:rPr>
          <w:color w:val="222222"/>
        </w:rPr>
        <w:t>interests. Courts have already acknowledged the limited privacy interests of officers w</w:t>
      </w:r>
      <w:r w:rsidR="007D07F5">
        <w:rPr>
          <w:color w:val="222222"/>
        </w:rPr>
        <w:t>hile they’re on the job in public</w:t>
      </w:r>
      <w:r w:rsidR="00366181">
        <w:rPr>
          <w:color w:val="222222"/>
        </w:rPr>
        <w:t>.</w:t>
      </w:r>
      <w:r w:rsidR="00366181">
        <w:rPr>
          <w:rStyle w:val="EndnoteReference"/>
          <w:color w:val="222222"/>
        </w:rPr>
        <w:endnoteReference w:id="11"/>
      </w:r>
      <w:r w:rsidR="00366181">
        <w:rPr>
          <w:color w:val="222222"/>
        </w:rPr>
        <w:t xml:space="preserve"> </w:t>
      </w:r>
      <w:r>
        <w:rPr>
          <w:color w:val="222222"/>
        </w:rPr>
        <w:t xml:space="preserve">We believe that if WMATA engages in an open, public, and evidence-based process, the policies it adopts will produce transparency, enhance public confidence, and protect legitimate public safety and privacy concerns. </w:t>
      </w:r>
    </w:p>
    <w:p w14:paraId="7AD11256" w14:textId="77777777" w:rsidR="00C241EF" w:rsidRDefault="00C241EF" w:rsidP="00C241EF">
      <w:pPr>
        <w:spacing w:line="240" w:lineRule="auto"/>
        <w:ind w:left="-5"/>
      </w:pPr>
      <w:r>
        <w:rPr>
          <w:color w:val="222222"/>
        </w:rPr>
        <w:br/>
        <w:t>The past several years have repeatedly shown, particularly in cases where force was used against civilians, that withholding BWC footage sows distrust and frustrates public demands for police accountability. Almost inevitably, video comes out anyway, captured by other bystanders, and the delay in producing BWC video only makes it appear that law enforcement has something to hide. But robust access also can protect officers who do behave properly (for instance, by putting to rest false allegations). We urge WMATA to consider these lessons learned.</w:t>
      </w:r>
    </w:p>
    <w:p w14:paraId="41B95DB6" w14:textId="77777777" w:rsidR="00C241EF" w:rsidRDefault="00C241EF" w:rsidP="00C241EF">
      <w:pPr>
        <w:spacing w:after="20" w:line="240" w:lineRule="auto"/>
        <w:ind w:left="0" w:firstLine="0"/>
      </w:pPr>
      <w:r>
        <w:t xml:space="preserve"> </w:t>
      </w:r>
    </w:p>
    <w:p w14:paraId="4575FAD9" w14:textId="45928808" w:rsidR="00C241EF" w:rsidRDefault="00C241EF" w:rsidP="00C241EF">
      <w:pPr>
        <w:spacing w:after="470" w:line="240" w:lineRule="auto"/>
        <w:ind w:left="-5"/>
        <w:contextualSpacing/>
        <w:rPr>
          <w:b/>
        </w:rPr>
      </w:pPr>
      <w:r>
        <w:t>Thus, we believe it would be a mistake not to engage the public openly in the rules themselves. WMATA Transit Police appear to be deep into a process that they may assume, after months of work, is on track to be completed shortly. The WMATA Board of Directors should instead take the police work product as a draft subject to further open and public</w:t>
      </w:r>
      <w:r w:rsidRPr="00023CD7">
        <w:t xml:space="preserve"> </w:t>
      </w:r>
      <w:r>
        <w:t xml:space="preserve">review, with adoption only after the board has considered a full range of views on the important issues the new technology raises. </w:t>
      </w:r>
      <w:r>
        <w:rPr>
          <w:b/>
        </w:rPr>
        <w:t xml:space="preserve">We strongly urge the </w:t>
      </w:r>
      <w:r w:rsidR="002C36B9">
        <w:rPr>
          <w:b/>
        </w:rPr>
        <w:t xml:space="preserve">Council to ask the </w:t>
      </w:r>
      <w:r>
        <w:rPr>
          <w:b/>
        </w:rPr>
        <w:t>board to adopt an open and full-blown public-engagement process such as we have proposed above, and we look forward to taking an active part in that.</w:t>
      </w:r>
    </w:p>
    <w:p w14:paraId="4A233A94" w14:textId="448B1290" w:rsidR="002C36B9" w:rsidRDefault="002C36B9"/>
    <w:p w14:paraId="3D517930" w14:textId="77777777" w:rsidR="002C36B9" w:rsidRPr="002C36B9" w:rsidRDefault="002C36B9" w:rsidP="002C36B9">
      <w:r w:rsidRPr="002C36B9">
        <w:t xml:space="preserve">For any questions, reach me at: </w:t>
      </w:r>
      <w:hyperlink r:id="rId11" w:history="1">
        <w:r w:rsidRPr="002C36B9">
          <w:rPr>
            <w:rStyle w:val="Hyperlink"/>
          </w:rPr>
          <w:t>fmulhauser@aol.com</w:t>
        </w:r>
      </w:hyperlink>
      <w:r w:rsidRPr="002C36B9">
        <w:t xml:space="preserve"> or 202-550-4131.</w:t>
      </w:r>
    </w:p>
    <w:p w14:paraId="4DDCA2BB" w14:textId="77777777" w:rsidR="002C36B9" w:rsidRDefault="002C36B9" w:rsidP="002C36B9">
      <w:pPr>
        <w:pBdr>
          <w:bottom w:val="single" w:sz="12" w:space="1" w:color="auto"/>
        </w:pBdr>
      </w:pPr>
    </w:p>
    <w:p w14:paraId="39D92899" w14:textId="77777777" w:rsidR="002C36B9" w:rsidRPr="002C36B9" w:rsidRDefault="002C36B9" w:rsidP="007D07F5">
      <w:pPr>
        <w:spacing w:line="240" w:lineRule="auto"/>
        <w:ind w:left="14" w:hanging="14"/>
        <w:rPr>
          <w:sz w:val="22"/>
          <w:szCs w:val="22"/>
        </w:rPr>
      </w:pPr>
      <w:r w:rsidRPr="002C36B9">
        <w:rPr>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5AF73858" w14:textId="77777777" w:rsidR="002C36B9" w:rsidRPr="002C36B9" w:rsidRDefault="002C36B9" w:rsidP="002C36B9"/>
    <w:p w14:paraId="59395BBD" w14:textId="77777777" w:rsidR="002C36B9" w:rsidRPr="002C36B9" w:rsidRDefault="002C36B9" w:rsidP="007D07F5">
      <w:pPr>
        <w:spacing w:line="240" w:lineRule="auto"/>
        <w:ind w:left="14" w:hanging="14"/>
        <w:rPr>
          <w:sz w:val="22"/>
          <w:szCs w:val="22"/>
        </w:rPr>
      </w:pPr>
      <w:r w:rsidRPr="002C36B9">
        <w:rPr>
          <w:sz w:val="22"/>
          <w:szCs w:val="22"/>
        </w:rPr>
        <w:t xml:space="preserve">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has no staff but does its work through the volunteer efforts of 13 directors, who include reporters, community activists, experts with open government institutions overseas and at the federal level, and attorneys in media law, nonprofit legal services, and criminal defense. The Coalition participates in a National Freedom of Information Coalition where advocates from dozens of states work together on common issues all are facing. </w:t>
      </w:r>
    </w:p>
    <w:p w14:paraId="2653ED24" w14:textId="77777777" w:rsidR="002C36B9" w:rsidRDefault="002C36B9"/>
    <w:sectPr w:rsidR="002C36B9" w:rsidSect="00963229">
      <w:footerReference w:type="even" r:id="rId12"/>
      <w:footerReference w:type="default" r:id="rId13"/>
      <w:pgSz w:w="12240" w:h="15840"/>
      <w:pgMar w:top="639" w:right="1440" w:bottom="1269"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4CBC" w14:textId="77777777" w:rsidR="00467528" w:rsidRDefault="00467528" w:rsidP="002C36B9">
      <w:pPr>
        <w:spacing w:after="0" w:line="240" w:lineRule="auto"/>
      </w:pPr>
      <w:r>
        <w:separator/>
      </w:r>
    </w:p>
  </w:endnote>
  <w:endnote w:type="continuationSeparator" w:id="0">
    <w:p w14:paraId="214AE632" w14:textId="77777777" w:rsidR="00467528" w:rsidRDefault="00467528" w:rsidP="002C36B9">
      <w:pPr>
        <w:spacing w:after="0" w:line="240" w:lineRule="auto"/>
      </w:pPr>
      <w:r>
        <w:continuationSeparator/>
      </w:r>
    </w:p>
  </w:endnote>
  <w:endnote w:id="1">
    <w:p w14:paraId="03A57B2E" w14:textId="23A78C79" w:rsidR="007869E3" w:rsidRDefault="007869E3" w:rsidP="007869E3">
      <w:pPr>
        <w:pStyle w:val="EndnoteText"/>
      </w:pPr>
      <w:r>
        <w:t>ENDNOTES</w:t>
      </w:r>
    </w:p>
    <w:p w14:paraId="6DC4B21B" w14:textId="77777777" w:rsidR="007869E3" w:rsidRDefault="007869E3" w:rsidP="007869E3">
      <w:pPr>
        <w:pStyle w:val="EndnoteText"/>
      </w:pPr>
    </w:p>
    <w:p w14:paraId="7486F2A6" w14:textId="2B0D5B6D" w:rsidR="007869E3" w:rsidRDefault="007869E3" w:rsidP="007869E3">
      <w:pPr>
        <w:pStyle w:val="EndnoteText"/>
      </w:pPr>
      <w:r>
        <w:rPr>
          <w:rStyle w:val="EndnoteReference"/>
        </w:rPr>
        <w:endnoteRef/>
      </w:r>
      <w:r>
        <w:t xml:space="preserve"> For a recent summary</w:t>
      </w:r>
      <w:r w:rsidR="00406746">
        <w:t xml:space="preserve"> that emphasizes </w:t>
      </w:r>
      <w:r w:rsidR="00F1665B">
        <w:t xml:space="preserve">the importance of </w:t>
      </w:r>
      <w:r w:rsidR="00406746">
        <w:t xml:space="preserve">policy implementation details, </w:t>
      </w:r>
      <w:r>
        <w:t xml:space="preserve">see Rachel M. Cohen, </w:t>
      </w:r>
      <w:r w:rsidR="00406746">
        <w:t>“</w:t>
      </w:r>
      <w:r w:rsidR="00406746" w:rsidRPr="00406746">
        <w:t xml:space="preserve">What do we want police body cams to do? Taking a new look at one of the </w:t>
      </w:r>
      <w:proofErr w:type="gramStart"/>
      <w:r w:rsidR="00406746" w:rsidRPr="00406746">
        <w:t>most commonly adopted</w:t>
      </w:r>
      <w:proofErr w:type="gramEnd"/>
      <w:r w:rsidR="00406746" w:rsidRPr="00406746">
        <w:t xml:space="preserve"> police reforms in the country.</w:t>
      </w:r>
      <w:r w:rsidR="00406746">
        <w:t xml:space="preserve">” </w:t>
      </w:r>
      <w:r w:rsidR="00406746" w:rsidRPr="009E1730">
        <w:rPr>
          <w:i/>
          <w:iCs/>
        </w:rPr>
        <w:t>Vox</w:t>
      </w:r>
      <w:r w:rsidR="00406746">
        <w:t xml:space="preserve"> (Feb. 2, 2023). </w:t>
      </w:r>
      <w:r>
        <w:t>(“</w:t>
      </w:r>
      <w:r>
        <w:t>So far, the</w:t>
      </w:r>
      <w:r>
        <w:rPr>
          <w:rStyle w:val="Strong"/>
        </w:rPr>
        <w:t xml:space="preserve"> </w:t>
      </w:r>
      <w:r>
        <w:t>best evidence we have suggests they have led to less use of force and provided more tools for holding rogue cops accountable — but, like most reforms, how they’re used matters.</w:t>
      </w:r>
      <w:r>
        <w:t xml:space="preserve">”). Available at: </w:t>
      </w:r>
      <w:hyperlink r:id="rId1" w:history="1">
        <w:r w:rsidRPr="00262DB3">
          <w:rPr>
            <w:rStyle w:val="Hyperlink"/>
          </w:rPr>
          <w:t>https://www.vox.com/policy-and-politics/23579290/police-body-worn-cameras-tyre-nichols-reform-bwc</w:t>
        </w:r>
      </w:hyperlink>
      <w:r>
        <w:t xml:space="preserve">. </w:t>
      </w:r>
    </w:p>
    <w:p w14:paraId="486ADE59" w14:textId="7817BB25" w:rsidR="007869E3" w:rsidRDefault="007869E3">
      <w:pPr>
        <w:pStyle w:val="EndnoteText"/>
      </w:pPr>
    </w:p>
  </w:endnote>
  <w:endnote w:id="2">
    <w:p w14:paraId="2A099A03" w14:textId="059351F5" w:rsidR="00406746" w:rsidRDefault="00406746">
      <w:pPr>
        <w:pStyle w:val="EndnoteText"/>
      </w:pPr>
      <w:r>
        <w:rPr>
          <w:rStyle w:val="EndnoteReference"/>
        </w:rPr>
        <w:endnoteRef/>
      </w:r>
      <w:r>
        <w:t xml:space="preserve"> For our appeal describing the incorrect denial and why it was based on </w:t>
      </w:r>
      <w:proofErr w:type="spellStart"/>
      <w:r w:rsidR="009E1730">
        <w:t>multiple</w:t>
      </w:r>
      <w:proofErr w:type="spellEnd"/>
      <w:r w:rsidR="009E1730">
        <w:t xml:space="preserve"> </w:t>
      </w:r>
      <w:r>
        <w:t xml:space="preserve">misunderstandings of the law, see here: </w:t>
      </w:r>
      <w:hyperlink r:id="rId2" w:history="1">
        <w:r w:rsidR="008E63F8" w:rsidRPr="00262DB3">
          <w:rPr>
            <w:rStyle w:val="Hyperlink"/>
          </w:rPr>
          <w:t>https://dcogc.org/wp-content/uploads/2023/02/PARP-appeal-body-cam-plans.docx</w:t>
        </w:r>
      </w:hyperlink>
      <w:r w:rsidR="008E63F8">
        <w:t xml:space="preserve">. </w:t>
      </w:r>
    </w:p>
    <w:p w14:paraId="3E26E682" w14:textId="77777777" w:rsidR="00406746" w:rsidRDefault="00406746">
      <w:pPr>
        <w:pStyle w:val="EndnoteText"/>
      </w:pPr>
    </w:p>
  </w:endnote>
  <w:endnote w:id="3">
    <w:p w14:paraId="62E7AB22" w14:textId="46B32FC7" w:rsidR="009E1730" w:rsidRDefault="009E1730">
      <w:pPr>
        <w:pStyle w:val="EndnoteText"/>
      </w:pPr>
      <w:r>
        <w:rPr>
          <w:rStyle w:val="EndnoteReference"/>
        </w:rPr>
        <w:endnoteRef/>
      </w:r>
      <w:r>
        <w:t xml:space="preserve"> The letter and our blog discussing it are here: </w:t>
      </w:r>
      <w:hyperlink r:id="rId3" w:history="1">
        <w:r w:rsidRPr="00262DB3">
          <w:rPr>
            <w:rStyle w:val="Hyperlink"/>
          </w:rPr>
          <w:t>https://dcogc.org/blog/coalitions-call-for-wmata-to-make-rules-in-the-sunshine-for-body-cam-video/</w:t>
        </w:r>
      </w:hyperlink>
      <w:r>
        <w:t xml:space="preserve">. </w:t>
      </w:r>
    </w:p>
    <w:p w14:paraId="20A4EBA7" w14:textId="77777777" w:rsidR="009E1730" w:rsidRDefault="009E1730">
      <w:pPr>
        <w:pStyle w:val="EndnoteText"/>
      </w:pPr>
    </w:p>
  </w:endnote>
  <w:endnote w:id="4">
    <w:p w14:paraId="7B860AD6" w14:textId="58735DFE" w:rsidR="004D63E6" w:rsidRPr="004D63E6" w:rsidRDefault="00963229" w:rsidP="004D63E6">
      <w:pPr>
        <w:pStyle w:val="EndnoteText"/>
      </w:pPr>
      <w:r>
        <w:rPr>
          <w:rStyle w:val="EndnoteReference"/>
        </w:rPr>
        <w:endnoteRef/>
      </w:r>
      <w:r>
        <w:t xml:space="preserve"> </w:t>
      </w:r>
      <w:r w:rsidR="004D63E6">
        <w:t>Justin George, “</w:t>
      </w:r>
      <w:r w:rsidR="004D63E6" w:rsidRPr="004D63E6">
        <w:t>Metro Transit Police officers to get body cameras this year</w:t>
      </w:r>
      <w:r w:rsidR="004D63E6">
        <w:t xml:space="preserve">.” </w:t>
      </w:r>
      <w:r w:rsidR="004D63E6" w:rsidRPr="004D63E6">
        <w:rPr>
          <w:i/>
          <w:iCs/>
        </w:rPr>
        <w:t>Washington Post</w:t>
      </w:r>
      <w:r w:rsidR="004D63E6">
        <w:t xml:space="preserve">, July 2, 2022. Available at: </w:t>
      </w:r>
      <w:hyperlink r:id="rId4" w:history="1">
        <w:r w:rsidR="004D63E6" w:rsidRPr="00262DB3">
          <w:rPr>
            <w:rStyle w:val="Hyperlink"/>
          </w:rPr>
          <w:t>https://www.washingtonpost.com/transportation/2022/07/02/metro-transit-police-body-cameras/</w:t>
        </w:r>
      </w:hyperlink>
      <w:r w:rsidR="004D63E6">
        <w:t xml:space="preserve">. </w:t>
      </w:r>
    </w:p>
    <w:p w14:paraId="577D4F13" w14:textId="605A9E83" w:rsidR="00963229" w:rsidRPr="004D63E6" w:rsidRDefault="00963229">
      <w:pPr>
        <w:pStyle w:val="EndnoteText"/>
      </w:pPr>
    </w:p>
  </w:endnote>
  <w:endnote w:id="5">
    <w:p w14:paraId="47CB4716" w14:textId="721A6A94" w:rsidR="002B017D" w:rsidRPr="002B017D" w:rsidRDefault="002B017D" w:rsidP="002B017D">
      <w:pPr>
        <w:pStyle w:val="EndnoteText"/>
      </w:pPr>
      <w:r>
        <w:rPr>
          <w:rStyle w:val="EndnoteReference"/>
        </w:rPr>
        <w:endnoteRef/>
      </w:r>
      <w:r>
        <w:t xml:space="preserve"> D.C. Open Government Coalition, </w:t>
      </w:r>
      <w:r w:rsidRPr="002B017D">
        <w:rPr>
          <w:bCs/>
          <w:i/>
          <w:iCs/>
        </w:rPr>
        <w:t>State and Local Policies Regarding Public Access to Police Body-Worn Cameras</w:t>
      </w:r>
      <w:r w:rsidRPr="002B017D">
        <w:rPr>
          <w:bCs/>
          <w:i/>
          <w:iCs/>
        </w:rPr>
        <w:t xml:space="preserve">: </w:t>
      </w:r>
      <w:r w:rsidRPr="002B017D">
        <w:rPr>
          <w:bCs/>
          <w:i/>
          <w:iCs/>
        </w:rPr>
        <w:t>Executive Summary</w:t>
      </w:r>
      <w:r>
        <w:rPr>
          <w:b/>
        </w:rPr>
        <w:t xml:space="preserve"> (</w:t>
      </w:r>
      <w:r w:rsidRPr="002B017D">
        <w:t>September 2020</w:t>
      </w:r>
      <w:r>
        <w:t>). A</w:t>
      </w:r>
      <w:r w:rsidRPr="002B017D">
        <w:t xml:space="preserve">vailable at: </w:t>
      </w:r>
      <w:hyperlink r:id="rId5" w:history="1">
        <w:r w:rsidRPr="002B017D">
          <w:rPr>
            <w:rStyle w:val="Hyperlink"/>
          </w:rPr>
          <w:t>https://tinyu</w:t>
        </w:r>
        <w:r w:rsidRPr="002B017D">
          <w:rPr>
            <w:rStyle w:val="Hyperlink"/>
          </w:rPr>
          <w:t>r</w:t>
        </w:r>
        <w:r w:rsidRPr="002B017D">
          <w:rPr>
            <w:rStyle w:val="Hyperlink"/>
          </w:rPr>
          <w:t>l</w:t>
        </w:r>
        <w:r w:rsidRPr="002B017D">
          <w:rPr>
            <w:rStyle w:val="Hyperlink"/>
          </w:rPr>
          <w:t>.co</w:t>
        </w:r>
        <w:r w:rsidRPr="002B017D">
          <w:rPr>
            <w:rStyle w:val="Hyperlink"/>
          </w:rPr>
          <w:t>m</w:t>
        </w:r>
        <w:r w:rsidRPr="002B017D">
          <w:rPr>
            <w:rStyle w:val="Hyperlink"/>
          </w:rPr>
          <w:t>/5x39tcp3</w:t>
        </w:r>
      </w:hyperlink>
      <w:r w:rsidRPr="002B017D">
        <w:t xml:space="preserve">. </w:t>
      </w:r>
    </w:p>
    <w:p w14:paraId="2A291021" w14:textId="77777777" w:rsidR="002B017D" w:rsidRDefault="002B017D" w:rsidP="002B017D">
      <w:pPr>
        <w:pStyle w:val="EndnoteText"/>
        <w:ind w:left="0" w:firstLine="0"/>
      </w:pPr>
    </w:p>
  </w:endnote>
  <w:endnote w:id="6">
    <w:p w14:paraId="22844F61" w14:textId="37DFB11F" w:rsidR="00B813BC" w:rsidRDefault="00B813BC">
      <w:pPr>
        <w:pStyle w:val="EndnoteText"/>
      </w:pPr>
      <w:r>
        <w:rPr>
          <w:rStyle w:val="EndnoteReference"/>
        </w:rPr>
        <w:endnoteRef/>
      </w:r>
      <w:r>
        <w:t xml:space="preserve"> Based on an Open Government Coalition complaint, the Office of Open Government reviewed how and why MPD redacts details from BWC video requested under FOIA</w:t>
      </w:r>
      <w:r w:rsidR="00140656">
        <w:t xml:space="preserve">. Their 2020 opinion found </w:t>
      </w:r>
      <w:r>
        <w:t xml:space="preserve">it </w:t>
      </w:r>
      <w:r w:rsidR="00140656">
        <w:t xml:space="preserve">takes a long time, costs a lot, and </w:t>
      </w:r>
      <w:r w:rsidR="007D07F5">
        <w:t xml:space="preserve">blurs far more than privacy law allows. These combined incorrect policy choices, the opinion shows, can undercut the program goals. </w:t>
      </w:r>
      <w:r>
        <w:t xml:space="preserve">Available at: </w:t>
      </w:r>
      <w:hyperlink r:id="rId6" w:history="1">
        <w:r w:rsidRPr="00262DB3">
          <w:rPr>
            <w:rStyle w:val="Hyperlink"/>
          </w:rPr>
          <w:t>https://www.open-dc.gov/BWC_FOIA_AdvisoryOpinion_2020</w:t>
        </w:r>
      </w:hyperlink>
      <w:r>
        <w:t xml:space="preserve">. </w:t>
      </w:r>
    </w:p>
    <w:p w14:paraId="0569830D" w14:textId="77777777" w:rsidR="00B813BC" w:rsidRDefault="00B813BC">
      <w:pPr>
        <w:pStyle w:val="EndnoteText"/>
      </w:pPr>
    </w:p>
  </w:endnote>
  <w:endnote w:id="7">
    <w:p w14:paraId="50E368B8" w14:textId="25E37B0B" w:rsidR="009E1730" w:rsidRPr="00D11B80" w:rsidRDefault="009E1730">
      <w:pPr>
        <w:pStyle w:val="EndnoteText"/>
      </w:pPr>
      <w:r>
        <w:rPr>
          <w:rStyle w:val="EndnoteReference"/>
        </w:rPr>
        <w:endnoteRef/>
      </w:r>
      <w:r>
        <w:t xml:space="preserve"> </w:t>
      </w:r>
      <w:r w:rsidRPr="00D11B80">
        <w:t xml:space="preserve">See reporting requirements added </w:t>
      </w:r>
      <w:r w:rsidR="00E00BA0" w:rsidRPr="00D11B80">
        <w:t xml:space="preserve">by </w:t>
      </w:r>
      <w:r w:rsidR="00E00BA0" w:rsidRPr="00D11B80">
        <w:t>Title I, Subtitle B</w:t>
      </w:r>
      <w:r w:rsidR="00E00BA0" w:rsidRPr="00D11B80">
        <w:t xml:space="preserve"> of </w:t>
      </w:r>
      <w:r w:rsidRPr="00D11B80">
        <w:t>D.C</w:t>
      </w:r>
      <w:r w:rsidR="00E00BA0" w:rsidRPr="00D11B80">
        <w:t xml:space="preserve">. </w:t>
      </w:r>
      <w:r w:rsidR="00E00BA0" w:rsidRPr="00D11B80">
        <w:t>Act A24-781</w:t>
      </w:r>
      <w:r w:rsidR="00E00BA0" w:rsidRPr="00D11B80">
        <w:t xml:space="preserve">, </w:t>
      </w:r>
      <w:r w:rsidR="00E00BA0" w:rsidRPr="00D11B80">
        <w:rPr>
          <w:rFonts w:eastAsiaTheme="minorHAnsi"/>
          <w:i/>
          <w:iCs/>
          <w:color w:val="auto"/>
          <w:lang w:bidi="ar-SA"/>
        </w:rPr>
        <w:t>Comprehensive Policing and Justice R</w:t>
      </w:r>
      <w:r w:rsidR="00E00BA0" w:rsidRPr="00D11B80">
        <w:rPr>
          <w:rFonts w:eastAsiaTheme="minorHAnsi"/>
          <w:i/>
          <w:iCs/>
          <w:color w:val="auto"/>
          <w:lang w:bidi="ar-SA"/>
        </w:rPr>
        <w:t xml:space="preserve">eform </w:t>
      </w:r>
      <w:r w:rsidR="00E00BA0" w:rsidRPr="00D11B80">
        <w:rPr>
          <w:rFonts w:eastAsiaTheme="minorHAnsi"/>
          <w:i/>
          <w:iCs/>
          <w:color w:val="auto"/>
          <w:lang w:bidi="ar-SA"/>
        </w:rPr>
        <w:t>Amend</w:t>
      </w:r>
      <w:r w:rsidR="00E00BA0" w:rsidRPr="00D11B80">
        <w:rPr>
          <w:rFonts w:eastAsiaTheme="minorHAnsi"/>
          <w:i/>
          <w:iCs/>
          <w:color w:val="auto"/>
          <w:lang w:bidi="ar-SA"/>
        </w:rPr>
        <w:t>ment</w:t>
      </w:r>
      <w:r w:rsidR="00E00BA0" w:rsidRPr="00D11B80">
        <w:rPr>
          <w:rFonts w:eastAsiaTheme="minorHAnsi"/>
          <w:i/>
          <w:iCs/>
          <w:color w:val="auto"/>
          <w:lang w:bidi="ar-SA"/>
        </w:rPr>
        <w:t xml:space="preserve"> Act of</w:t>
      </w:r>
      <w:r w:rsidR="00E00BA0" w:rsidRPr="00D11B80">
        <w:rPr>
          <w:rFonts w:eastAsiaTheme="minorHAnsi"/>
          <w:i/>
          <w:iCs/>
          <w:color w:val="auto"/>
          <w:lang w:bidi="ar-SA"/>
        </w:rPr>
        <w:t xml:space="preserve"> </w:t>
      </w:r>
      <w:r w:rsidR="00E00BA0" w:rsidRPr="00D11B80">
        <w:rPr>
          <w:rFonts w:eastAsiaTheme="minorHAnsi"/>
          <w:i/>
          <w:iCs/>
          <w:color w:val="auto"/>
          <w:lang w:bidi="ar-SA"/>
        </w:rPr>
        <w:t>2022</w:t>
      </w:r>
      <w:r w:rsidR="00E00BA0" w:rsidRPr="00D11B80">
        <w:t xml:space="preserve"> (B24-320) </w:t>
      </w:r>
      <w:r w:rsidRPr="00D11B80">
        <w:t>pending before Congress</w:t>
      </w:r>
      <w:r w:rsidR="00E00BA0" w:rsidRPr="00D11B80">
        <w:t xml:space="preserve">. Available at:     </w:t>
      </w:r>
      <w:hyperlink r:id="rId7" w:history="1">
        <w:r w:rsidR="00E00BA0" w:rsidRPr="00D11B80">
          <w:rPr>
            <w:rStyle w:val="Hyperlink"/>
          </w:rPr>
          <w:t>https://www.dcregs.dc.gov/Common/DCR/Issues/IssueCategoryList.aspx?CategoryID=4&amp;IssueID=1018</w:t>
        </w:r>
      </w:hyperlink>
      <w:r w:rsidR="00E00BA0" w:rsidRPr="00D11B80">
        <w:t xml:space="preserve">. </w:t>
      </w:r>
    </w:p>
    <w:p w14:paraId="2C64B506" w14:textId="77777777" w:rsidR="009E1730" w:rsidRDefault="009E1730">
      <w:pPr>
        <w:pStyle w:val="EndnoteText"/>
      </w:pPr>
    </w:p>
  </w:endnote>
  <w:endnote w:id="8">
    <w:p w14:paraId="4A916916" w14:textId="2F890CEF" w:rsidR="00D11B80" w:rsidRPr="00D11B80" w:rsidRDefault="00D11B80" w:rsidP="00D11B80">
      <w:pPr>
        <w:spacing w:line="240" w:lineRule="auto"/>
        <w:ind w:left="-5"/>
        <w:rPr>
          <w:sz w:val="20"/>
          <w:szCs w:val="20"/>
        </w:rPr>
      </w:pPr>
      <w:r w:rsidRPr="00D11B80">
        <w:rPr>
          <w:rStyle w:val="EndnoteReference"/>
          <w:sz w:val="20"/>
          <w:szCs w:val="20"/>
        </w:rPr>
        <w:endnoteRef/>
      </w:r>
      <w:r w:rsidRPr="00D11B80">
        <w:rPr>
          <w:sz w:val="20"/>
          <w:szCs w:val="20"/>
        </w:rPr>
        <w:t xml:space="preserve"> </w:t>
      </w:r>
      <w:r w:rsidRPr="00D11B80">
        <w:rPr>
          <w:sz w:val="20"/>
          <w:szCs w:val="20"/>
        </w:rPr>
        <w:t xml:space="preserve">The </w:t>
      </w:r>
      <w:r>
        <w:rPr>
          <w:sz w:val="20"/>
          <w:szCs w:val="20"/>
        </w:rPr>
        <w:t xml:space="preserve">Council committee </w:t>
      </w:r>
      <w:r w:rsidRPr="00D11B80">
        <w:rPr>
          <w:sz w:val="20"/>
          <w:szCs w:val="20"/>
        </w:rPr>
        <w:t xml:space="preserve">report is available at: </w:t>
      </w:r>
      <w:hyperlink r:id="rId8" w:history="1">
        <w:r w:rsidRPr="00D11B80">
          <w:rPr>
            <w:rStyle w:val="Hyperlink"/>
            <w:sz w:val="20"/>
            <w:szCs w:val="20"/>
          </w:rPr>
          <w:t>https://tin</w:t>
        </w:r>
        <w:r w:rsidRPr="00D11B80">
          <w:rPr>
            <w:rStyle w:val="Hyperlink"/>
            <w:sz w:val="20"/>
            <w:szCs w:val="20"/>
          </w:rPr>
          <w:t>yurl.com/2yn7my3u</w:t>
        </w:r>
      </w:hyperlink>
      <w:r w:rsidRPr="00D11B80">
        <w:rPr>
          <w:sz w:val="20"/>
          <w:szCs w:val="20"/>
        </w:rPr>
        <w:t xml:space="preserve">. </w:t>
      </w:r>
    </w:p>
    <w:p w14:paraId="47EC2D44" w14:textId="77777777" w:rsidR="00D11B80" w:rsidRDefault="00D11B80">
      <w:pPr>
        <w:pStyle w:val="EndnoteText"/>
      </w:pPr>
    </w:p>
  </w:endnote>
  <w:endnote w:id="9">
    <w:p w14:paraId="6D79DA1F" w14:textId="0DB59DE7" w:rsidR="00D11B80" w:rsidRPr="00D11B80" w:rsidRDefault="00D11B80" w:rsidP="00D11B80">
      <w:pPr>
        <w:pStyle w:val="EndnoteText"/>
      </w:pPr>
      <w:r>
        <w:rPr>
          <w:rStyle w:val="EndnoteReference"/>
        </w:rPr>
        <w:endnoteRef/>
      </w:r>
      <w:r>
        <w:t xml:space="preserve"> Exclusions were added to D.C. Freedom of Information Act at </w:t>
      </w:r>
      <w:r w:rsidRPr="00D11B80">
        <w:t xml:space="preserve">D.C. Code § </w:t>
      </w:r>
      <w:r>
        <w:t>2-</w:t>
      </w:r>
      <w:r w:rsidRPr="00D11B80">
        <w:t>534(a)(2A)</w:t>
      </w:r>
      <w:r>
        <w:t>.</w:t>
      </w:r>
    </w:p>
    <w:p w14:paraId="571EAE80" w14:textId="5C9A0EE0" w:rsidR="00D11B80" w:rsidRDefault="00D11B80">
      <w:pPr>
        <w:pStyle w:val="EndnoteText"/>
      </w:pPr>
      <w:r>
        <w:t xml:space="preserve">     </w:t>
      </w:r>
    </w:p>
  </w:endnote>
  <w:endnote w:id="10">
    <w:p w14:paraId="30D979FA" w14:textId="30576EE6" w:rsidR="004D63E6" w:rsidRPr="004D63E6" w:rsidRDefault="004D63E6" w:rsidP="004D63E6">
      <w:pPr>
        <w:pStyle w:val="EndnoteText"/>
      </w:pPr>
      <w:r>
        <w:rPr>
          <w:rStyle w:val="EndnoteReference"/>
        </w:rPr>
        <w:endnoteRef/>
      </w:r>
      <w:r>
        <w:t xml:space="preserve"> According to the </w:t>
      </w:r>
      <w:r w:rsidR="002B017D">
        <w:t xml:space="preserve">July 2, 2022, </w:t>
      </w:r>
      <w:r w:rsidRPr="004D63E6">
        <w:rPr>
          <w:i/>
          <w:iCs/>
        </w:rPr>
        <w:t>Washington Post</w:t>
      </w:r>
      <w:r>
        <w:t xml:space="preserve">, </w:t>
      </w:r>
      <w:r w:rsidR="002B017D">
        <w:t>“</w:t>
      </w:r>
      <w:r>
        <w:t xml:space="preserve">WMATA </w:t>
      </w:r>
      <w:r w:rsidRPr="004D63E6">
        <w:t>board member Tracy Hadden Loh said the work of other law enforcement agencies will serve as a guide for transit police. Loh was a Mount Rainier, Md., city council member in 2016 when the city’s police department became one of the first in the state to use body-worn cameras.</w:t>
      </w:r>
      <w:r w:rsidR="002B017D">
        <w:t xml:space="preserve"> ‘</w:t>
      </w:r>
      <w:r w:rsidRPr="004D63E6">
        <w:t>A lot of the kinks have been worked out in terms of the technology and in terms of the best policies in order to govern how they’re used in the field and how the footage is stored and released,</w:t>
      </w:r>
      <w:r w:rsidR="002B017D">
        <w:t>’</w:t>
      </w:r>
      <w:r w:rsidRPr="004D63E6">
        <w:t xml:space="preserve"> she said.</w:t>
      </w:r>
      <w:r w:rsidR="002B017D">
        <w:t xml:space="preserve">” We wrote Ms. Loh to </w:t>
      </w:r>
      <w:r w:rsidR="00C806C8">
        <w:t xml:space="preserve">request Coalition involvement and to </w:t>
      </w:r>
      <w:r w:rsidR="002B017D">
        <w:t xml:space="preserve">discuss how experience elsewhere was being </w:t>
      </w:r>
      <w:r w:rsidR="00C806C8">
        <w:t>evaluated</w:t>
      </w:r>
      <w:r w:rsidR="002B017D">
        <w:t xml:space="preserve"> (since some departments have adopted drastic limits on public access). We received no reply.</w:t>
      </w:r>
    </w:p>
    <w:p w14:paraId="11F1EE98" w14:textId="222939F9" w:rsidR="004D63E6" w:rsidRDefault="004D63E6">
      <w:pPr>
        <w:pStyle w:val="EndnoteText"/>
      </w:pPr>
    </w:p>
  </w:endnote>
  <w:endnote w:id="11">
    <w:p w14:paraId="6C28F20C" w14:textId="52F19C11" w:rsidR="00366181" w:rsidRDefault="00366181">
      <w:pPr>
        <w:pStyle w:val="EndnoteText"/>
      </w:pPr>
      <w:r>
        <w:rPr>
          <w:rStyle w:val="EndnoteReference"/>
        </w:rPr>
        <w:endnoteRef/>
      </w:r>
      <w:r>
        <w:t xml:space="preserve"> </w:t>
      </w:r>
      <w:r w:rsidR="00F1665B">
        <w:t xml:space="preserve">See, for example, </w:t>
      </w:r>
      <w:r w:rsidR="00F1665B" w:rsidRPr="00F1665B">
        <w:rPr>
          <w:i/>
          <w:iCs/>
        </w:rPr>
        <w:t xml:space="preserve">Glik v. </w:t>
      </w:r>
      <w:proofErr w:type="spellStart"/>
      <w:r w:rsidR="00F1665B" w:rsidRPr="00F1665B">
        <w:rPr>
          <w:i/>
          <w:iCs/>
        </w:rPr>
        <w:t>Cunniffe</w:t>
      </w:r>
      <w:proofErr w:type="spellEnd"/>
      <w:r w:rsidR="00F1665B">
        <w:t xml:space="preserve"> (1</w:t>
      </w:r>
      <w:r w:rsidR="00F1665B" w:rsidRPr="00F1665B">
        <w:rPr>
          <w:vertAlign w:val="superscript"/>
        </w:rPr>
        <w:t>st</w:t>
      </w:r>
      <w:r w:rsidR="00F1665B">
        <w:t xml:space="preserve"> Cir. 2011), available at: </w:t>
      </w:r>
      <w:hyperlink r:id="rId9" w:history="1">
        <w:r w:rsidR="00F1665B" w:rsidRPr="00262DB3">
          <w:rPr>
            <w:rStyle w:val="Hyperlink"/>
          </w:rPr>
          <w:t>https://caselaw.findlaw.com/us-1st-circuit/1578557.html</w:t>
        </w:r>
      </w:hyperlink>
      <w:r w:rsidR="00F1665B">
        <w:t xml:space="preserve">.  MPD </w:t>
      </w:r>
      <w:r>
        <w:t>policy</w:t>
      </w:r>
      <w:r w:rsidR="00F1665B">
        <w:t xml:space="preserve"> has recognized the public right to record since 2012.</w:t>
      </w:r>
      <w:r>
        <w:t xml:space="preserve"> </w:t>
      </w:r>
      <w:hyperlink r:id="rId10" w:history="1">
        <w:r w:rsidRPr="00262DB3">
          <w:rPr>
            <w:rStyle w:val="Hyperlink"/>
          </w:rPr>
          <w:t>https://go.mpdconline.com/GO/GO_304_19.pdf</w:t>
        </w:r>
      </w:hyperlink>
      <w:r>
        <w:t>.  (“T</w:t>
      </w:r>
      <w:r w:rsidRPr="00366181">
        <w:t>he Metropolitan Police Department (MPD) recognizes that members of the general</w:t>
      </w:r>
      <w:r>
        <w:t xml:space="preserve"> </w:t>
      </w:r>
      <w:r w:rsidRPr="00366181">
        <w:t>public have a First Amendment right to video record, photograph, and/or audio</w:t>
      </w:r>
      <w:r>
        <w:t xml:space="preserve"> </w:t>
      </w:r>
      <w:r w:rsidRPr="00366181">
        <w:t>record MPD members while MPD members are conducting official business or while</w:t>
      </w:r>
      <w:r>
        <w:t xml:space="preserve"> </w:t>
      </w:r>
      <w:r w:rsidRPr="00366181">
        <w:t>acting in an official capacity in any public space, unless such recordings interfere</w:t>
      </w:r>
      <w:r>
        <w:t xml:space="preserve"> </w:t>
      </w:r>
      <w:r w:rsidRPr="00366181">
        <w:t>with police activity.</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42508"/>
      <w:docPartObj>
        <w:docPartGallery w:val="Page Numbers (Bottom of Page)"/>
        <w:docPartUnique/>
      </w:docPartObj>
    </w:sdtPr>
    <w:sdtContent>
      <w:p w14:paraId="220611F8" w14:textId="45D9982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6EAAF" w14:textId="77777777" w:rsidR="002C36B9" w:rsidRDefault="002C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9461"/>
      <w:docPartObj>
        <w:docPartGallery w:val="Page Numbers (Bottom of Page)"/>
        <w:docPartUnique/>
      </w:docPartObj>
    </w:sdtPr>
    <w:sdtContent>
      <w:p w14:paraId="5BFB63C7" w14:textId="216DBA6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7E64F" w14:textId="77777777" w:rsidR="002C36B9" w:rsidRDefault="002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2614" w14:textId="77777777" w:rsidR="00467528" w:rsidRDefault="00467528" w:rsidP="002C36B9">
      <w:pPr>
        <w:spacing w:after="0" w:line="240" w:lineRule="auto"/>
      </w:pPr>
      <w:r>
        <w:separator/>
      </w:r>
    </w:p>
  </w:footnote>
  <w:footnote w:type="continuationSeparator" w:id="0">
    <w:p w14:paraId="78E56656" w14:textId="77777777" w:rsidR="00467528" w:rsidRDefault="00467528" w:rsidP="002C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1421E"/>
    <w:multiLevelType w:val="hybridMultilevel"/>
    <w:tmpl w:val="53B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2333693">
    <w:abstractNumId w:val="1"/>
  </w:num>
  <w:num w:numId="2" w16cid:durableId="34760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F"/>
    <w:rsid w:val="00140656"/>
    <w:rsid w:val="00184FA8"/>
    <w:rsid w:val="002B017D"/>
    <w:rsid w:val="002C36B9"/>
    <w:rsid w:val="00307F6E"/>
    <w:rsid w:val="00366181"/>
    <w:rsid w:val="00382EFD"/>
    <w:rsid w:val="00406746"/>
    <w:rsid w:val="00467528"/>
    <w:rsid w:val="004D63E6"/>
    <w:rsid w:val="00555A37"/>
    <w:rsid w:val="00607119"/>
    <w:rsid w:val="00666479"/>
    <w:rsid w:val="00697303"/>
    <w:rsid w:val="007869E3"/>
    <w:rsid w:val="007D07F5"/>
    <w:rsid w:val="008E63F8"/>
    <w:rsid w:val="00963229"/>
    <w:rsid w:val="009E1730"/>
    <w:rsid w:val="00A4784C"/>
    <w:rsid w:val="00B813BC"/>
    <w:rsid w:val="00C241EF"/>
    <w:rsid w:val="00C806C8"/>
    <w:rsid w:val="00D114B6"/>
    <w:rsid w:val="00D11B80"/>
    <w:rsid w:val="00E00BA0"/>
    <w:rsid w:val="00F1665B"/>
    <w:rsid w:val="00F3433B"/>
    <w:rsid w:val="00F7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997D5"/>
  <w15:chartTrackingRefBased/>
  <w15:docId w15:val="{BA81BFBB-DC05-EE42-8904-ACC47B7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F"/>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basedOn w:val="Normal"/>
    <w:next w:val="Normal"/>
    <w:link w:val="Heading1Char"/>
    <w:uiPriority w:val="9"/>
    <w:qFormat/>
    <w:rsid w:val="004D6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1EF"/>
    <w:rPr>
      <w:color w:val="0000FF"/>
      <w:u w:val="single"/>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rFonts w:ascii="Times New Roman" w:eastAsia="Times New Roman" w:hAnsi="Times New Roman" w:cs="Times New Roman"/>
      <w:color w:val="000000"/>
      <w:sz w:val="20"/>
      <w:szCs w:val="20"/>
      <w:lang w:bidi="en-US"/>
    </w:rPr>
  </w:style>
  <w:style w:type="paragraph" w:styleId="Subtitle">
    <w:name w:val="Subtitle"/>
    <w:basedOn w:val="Normal"/>
    <w:link w:val="SubtitleChar"/>
    <w:qFormat/>
    <w:rsid w:val="00C241EF"/>
    <w:pPr>
      <w:spacing w:after="0" w:line="240" w:lineRule="auto"/>
      <w:ind w:left="720" w:firstLine="0"/>
    </w:pPr>
    <w:rPr>
      <w:rFonts w:ascii="Arial" w:hAnsi="Arial"/>
      <w:color w:val="auto"/>
      <w:szCs w:val="20"/>
      <w:u w:val="single"/>
      <w:lang w:bidi="ar-SA"/>
    </w:rPr>
  </w:style>
  <w:style w:type="character" w:customStyle="1" w:styleId="SubtitleChar">
    <w:name w:val="Subtitle Char"/>
    <w:basedOn w:val="DefaultParagraphFont"/>
    <w:link w:val="Subtitle"/>
    <w:rsid w:val="00C241EF"/>
    <w:rPr>
      <w:rFonts w:ascii="Arial" w:eastAsia="Times New Roman" w:hAnsi="Arial" w:cs="Times New Roman"/>
      <w:szCs w:val="20"/>
      <w:u w:val="single"/>
    </w:rPr>
  </w:style>
  <w:style w:type="paragraph" w:styleId="ListParagraph">
    <w:name w:val="List Paragraph"/>
    <w:basedOn w:val="Normal"/>
    <w:uiPriority w:val="34"/>
    <w:qFormat/>
    <w:rsid w:val="00D114B6"/>
    <w:pPr>
      <w:ind w:left="720"/>
      <w:contextualSpacing/>
    </w:pPr>
  </w:style>
  <w:style w:type="character" w:styleId="UnresolvedMention">
    <w:name w:val="Unresolved Mention"/>
    <w:basedOn w:val="DefaultParagraphFont"/>
    <w:uiPriority w:val="99"/>
    <w:semiHidden/>
    <w:unhideWhenUsed/>
    <w:rsid w:val="002C36B9"/>
    <w:rPr>
      <w:color w:val="605E5C"/>
      <w:shd w:val="clear" w:color="auto" w:fill="E1DFDD"/>
    </w:rPr>
  </w:style>
  <w:style w:type="paragraph" w:styleId="Footer">
    <w:name w:val="footer"/>
    <w:basedOn w:val="Normal"/>
    <w:link w:val="FooterChar"/>
    <w:uiPriority w:val="99"/>
    <w:unhideWhenUsed/>
    <w:rsid w:val="002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B9"/>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2C36B9"/>
  </w:style>
  <w:style w:type="character" w:styleId="FollowedHyperlink">
    <w:name w:val="FollowedHyperlink"/>
    <w:basedOn w:val="DefaultParagraphFont"/>
    <w:uiPriority w:val="99"/>
    <w:semiHidden/>
    <w:unhideWhenUsed/>
    <w:rsid w:val="00963229"/>
    <w:rPr>
      <w:color w:val="954F72" w:themeColor="followedHyperlink"/>
      <w:u w:val="single"/>
    </w:rPr>
  </w:style>
  <w:style w:type="paragraph" w:styleId="EndnoteText">
    <w:name w:val="endnote text"/>
    <w:basedOn w:val="Normal"/>
    <w:link w:val="EndnoteTextChar"/>
    <w:uiPriority w:val="99"/>
    <w:semiHidden/>
    <w:unhideWhenUsed/>
    <w:rsid w:val="00963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29"/>
    <w:rPr>
      <w:rFonts w:ascii="Times New Roman" w:eastAsia="Times New Roman" w:hAnsi="Times New Roman" w:cs="Times New Roman"/>
      <w:color w:val="000000"/>
      <w:sz w:val="20"/>
      <w:szCs w:val="20"/>
      <w:lang w:bidi="en-US"/>
    </w:rPr>
  </w:style>
  <w:style w:type="character" w:styleId="EndnoteReference">
    <w:name w:val="endnote reference"/>
    <w:basedOn w:val="DefaultParagraphFont"/>
    <w:uiPriority w:val="99"/>
    <w:semiHidden/>
    <w:unhideWhenUsed/>
    <w:rsid w:val="00963229"/>
    <w:rPr>
      <w:vertAlign w:val="superscript"/>
    </w:rPr>
  </w:style>
  <w:style w:type="character" w:customStyle="1" w:styleId="Heading1Char">
    <w:name w:val="Heading 1 Char"/>
    <w:basedOn w:val="DefaultParagraphFont"/>
    <w:link w:val="Heading1"/>
    <w:uiPriority w:val="9"/>
    <w:rsid w:val="004D63E6"/>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786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71">
      <w:bodyDiv w:val="1"/>
      <w:marLeft w:val="0"/>
      <w:marRight w:val="0"/>
      <w:marTop w:val="0"/>
      <w:marBottom w:val="0"/>
      <w:divBdr>
        <w:top w:val="none" w:sz="0" w:space="0" w:color="auto"/>
        <w:left w:val="none" w:sz="0" w:space="0" w:color="auto"/>
        <w:bottom w:val="none" w:sz="0" w:space="0" w:color="auto"/>
        <w:right w:val="none" w:sz="0" w:space="0" w:color="auto"/>
      </w:divBdr>
    </w:div>
    <w:div w:id="167671241">
      <w:bodyDiv w:val="1"/>
      <w:marLeft w:val="0"/>
      <w:marRight w:val="0"/>
      <w:marTop w:val="0"/>
      <w:marBottom w:val="0"/>
      <w:divBdr>
        <w:top w:val="none" w:sz="0" w:space="0" w:color="auto"/>
        <w:left w:val="none" w:sz="0" w:space="0" w:color="auto"/>
        <w:bottom w:val="none" w:sz="0" w:space="0" w:color="auto"/>
        <w:right w:val="none" w:sz="0" w:space="0" w:color="auto"/>
      </w:divBdr>
    </w:div>
    <w:div w:id="287400133">
      <w:bodyDiv w:val="1"/>
      <w:marLeft w:val="0"/>
      <w:marRight w:val="0"/>
      <w:marTop w:val="0"/>
      <w:marBottom w:val="0"/>
      <w:divBdr>
        <w:top w:val="none" w:sz="0" w:space="0" w:color="auto"/>
        <w:left w:val="none" w:sz="0" w:space="0" w:color="auto"/>
        <w:bottom w:val="none" w:sz="0" w:space="0" w:color="auto"/>
        <w:right w:val="none" w:sz="0" w:space="0" w:color="auto"/>
      </w:divBdr>
      <w:divsChild>
        <w:div w:id="1457867790">
          <w:marLeft w:val="0"/>
          <w:marRight w:val="0"/>
          <w:marTop w:val="0"/>
          <w:marBottom w:val="0"/>
          <w:divBdr>
            <w:top w:val="none" w:sz="0" w:space="0" w:color="auto"/>
            <w:left w:val="none" w:sz="0" w:space="0" w:color="auto"/>
            <w:bottom w:val="none" w:sz="0" w:space="0" w:color="auto"/>
            <w:right w:val="none" w:sz="0" w:space="0" w:color="auto"/>
          </w:divBdr>
        </w:div>
        <w:div w:id="1475877737">
          <w:marLeft w:val="0"/>
          <w:marRight w:val="0"/>
          <w:marTop w:val="0"/>
          <w:marBottom w:val="0"/>
          <w:divBdr>
            <w:top w:val="none" w:sz="0" w:space="0" w:color="auto"/>
            <w:left w:val="none" w:sz="0" w:space="0" w:color="auto"/>
            <w:bottom w:val="none" w:sz="0" w:space="0" w:color="auto"/>
            <w:right w:val="none" w:sz="0" w:space="0" w:color="auto"/>
          </w:divBdr>
        </w:div>
      </w:divsChild>
    </w:div>
    <w:div w:id="1541286312">
      <w:bodyDiv w:val="1"/>
      <w:marLeft w:val="0"/>
      <w:marRight w:val="0"/>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
      </w:divsChild>
    </w:div>
    <w:div w:id="1549874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6801">
          <w:marLeft w:val="0"/>
          <w:marRight w:val="0"/>
          <w:marTop w:val="0"/>
          <w:marBottom w:val="0"/>
          <w:divBdr>
            <w:top w:val="none" w:sz="0" w:space="0" w:color="auto"/>
            <w:left w:val="none" w:sz="0" w:space="0" w:color="auto"/>
            <w:bottom w:val="none" w:sz="0" w:space="0" w:color="auto"/>
            <w:right w:val="none" w:sz="0" w:space="0" w:color="auto"/>
          </w:divBdr>
        </w:div>
      </w:divsChild>
    </w:div>
    <w:div w:id="20012764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147">
          <w:marLeft w:val="0"/>
          <w:marRight w:val="0"/>
          <w:marTop w:val="0"/>
          <w:marBottom w:val="0"/>
          <w:divBdr>
            <w:top w:val="none" w:sz="0" w:space="0" w:color="auto"/>
            <w:left w:val="none" w:sz="0" w:space="0" w:color="auto"/>
            <w:bottom w:val="none" w:sz="0" w:space="0" w:color="auto"/>
            <w:right w:val="none" w:sz="0" w:space="0" w:color="auto"/>
          </w:divBdr>
        </w:div>
        <w:div w:id="1558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tinyurl.com/2yn7my3u" TargetMode="External"/><Relationship Id="rId3" Type="http://schemas.openxmlformats.org/officeDocument/2006/relationships/hyperlink" Target="https://dcogc.org/blog/coalitions-call-for-wmata-to-make-rules-in-the-sunshine-for-body-cam-video/" TargetMode="External"/><Relationship Id="rId7" Type="http://schemas.openxmlformats.org/officeDocument/2006/relationships/hyperlink" Target="https://www.dcregs.dc.gov/Common/DCR/Issues/IssueCategoryList.aspx?CategoryID=4&amp;IssueID=1018" TargetMode="External"/><Relationship Id="rId2" Type="http://schemas.openxmlformats.org/officeDocument/2006/relationships/hyperlink" Target="https://dcogc.org/wp-content/uploads/2023/02/PARP-appeal-body-cam-plans.docx" TargetMode="External"/><Relationship Id="rId1" Type="http://schemas.openxmlformats.org/officeDocument/2006/relationships/hyperlink" Target="https://www.vox.com/policy-and-politics/23579290/police-body-worn-cameras-tyre-nichols-reform-bwc" TargetMode="External"/><Relationship Id="rId6" Type="http://schemas.openxmlformats.org/officeDocument/2006/relationships/hyperlink" Target="https://www.open-dc.gov/BWC_FOIA_AdvisoryOpinion_2020" TargetMode="External"/><Relationship Id="rId5" Type="http://schemas.openxmlformats.org/officeDocument/2006/relationships/hyperlink" Target="https://tinyurl.com/5x39tcp3" TargetMode="External"/><Relationship Id="rId10" Type="http://schemas.openxmlformats.org/officeDocument/2006/relationships/hyperlink" Target="https://go.mpdconline.com/GO/GO_304_19.pdf" TargetMode="External"/><Relationship Id="rId4" Type="http://schemas.openxmlformats.org/officeDocument/2006/relationships/hyperlink" Target="https://www.washingtonpost.com/transportation/2022/07/02/metro-transit-police-body-cameras/" TargetMode="External"/><Relationship Id="rId9" Type="http://schemas.openxmlformats.org/officeDocument/2006/relationships/hyperlink" Target="https://caselaw.findlaw.com/us-1st-circuit/15785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3A5D-0126-9D40-9593-E0CB919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2023-02-16T23:39:00Z</cp:lastPrinted>
  <dcterms:created xsi:type="dcterms:W3CDTF">2023-02-16T23:48:00Z</dcterms:created>
  <dcterms:modified xsi:type="dcterms:W3CDTF">2023-02-16T23:48:00Z</dcterms:modified>
</cp:coreProperties>
</file>