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C4F19" w14:textId="31F12280" w:rsidR="00C241EF" w:rsidRDefault="00184FA8" w:rsidP="00C241EF">
      <w:pPr>
        <w:spacing w:line="240" w:lineRule="auto"/>
        <w:ind w:left="-5"/>
      </w:pPr>
      <w:r>
        <w:rPr>
          <w:noProof/>
        </w:rPr>
        <w:drawing>
          <wp:anchor distT="0" distB="0" distL="114300" distR="114300" simplePos="0" relativeHeight="251659264" behindDoc="0" locked="0" layoutInCell="1" allowOverlap="1" wp14:anchorId="609BEE2B" wp14:editId="1FC3F80C">
            <wp:simplePos x="0" y="0"/>
            <wp:positionH relativeFrom="column">
              <wp:posOffset>-178435</wp:posOffset>
            </wp:positionH>
            <wp:positionV relativeFrom="paragraph">
              <wp:posOffset>164465</wp:posOffset>
            </wp:positionV>
            <wp:extent cx="1970405" cy="699135"/>
            <wp:effectExtent l="0" t="0" r="0" b="0"/>
            <wp:wrapSquare wrapText="bothSides"/>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0405" cy="699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8EE595" w14:textId="228DB8A4" w:rsidR="00C241EF" w:rsidRPr="004A70AC" w:rsidRDefault="00C241EF" w:rsidP="00C241EF">
      <w:pPr>
        <w:rPr>
          <w:sz w:val="28"/>
          <w:szCs w:val="28"/>
        </w:rPr>
      </w:pPr>
      <w:r>
        <w:t xml:space="preserve"> </w:t>
      </w:r>
    </w:p>
    <w:p w14:paraId="420A717A" w14:textId="24885683" w:rsidR="00C241EF" w:rsidRDefault="00C241EF" w:rsidP="00C241EF"/>
    <w:p w14:paraId="25B021D3" w14:textId="77777777" w:rsidR="00C241EF" w:rsidRDefault="00C241EF" w:rsidP="00C241EF"/>
    <w:p w14:paraId="710E6095" w14:textId="2F065DF9" w:rsidR="00C241EF" w:rsidRDefault="00184FA8" w:rsidP="00C241EF">
      <w:r>
        <w:rPr>
          <w:noProof/>
        </w:rPr>
        <mc:AlternateContent>
          <mc:Choice Requires="wps">
            <w:drawing>
              <wp:anchor distT="0" distB="0" distL="114300" distR="114300" simplePos="0" relativeHeight="251660288" behindDoc="0" locked="0" layoutInCell="1" allowOverlap="1" wp14:anchorId="5E0F87DE" wp14:editId="5A8219FC">
                <wp:simplePos x="0" y="0"/>
                <wp:positionH relativeFrom="margin">
                  <wp:posOffset>-209550</wp:posOffset>
                </wp:positionH>
                <wp:positionV relativeFrom="paragraph">
                  <wp:posOffset>93345</wp:posOffset>
                </wp:positionV>
                <wp:extent cx="2051050" cy="501650"/>
                <wp:effectExtent l="0" t="0" r="6350" b="6350"/>
                <wp:wrapTight wrapText="bothSides">
                  <wp:wrapPolygon edited="0">
                    <wp:start x="0" y="0"/>
                    <wp:lineTo x="0" y="21327"/>
                    <wp:lineTo x="21533" y="21327"/>
                    <wp:lineTo x="21533"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1050" cy="50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1CC5F" w14:textId="77777777" w:rsidR="00C241EF" w:rsidRDefault="00C241EF" w:rsidP="00C241EF">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159A252B" w14:textId="77777777" w:rsidR="00C241EF" w:rsidRDefault="00C241EF" w:rsidP="00C241EF">
                            <w:pPr>
                              <w:autoSpaceDE w:val="0"/>
                              <w:autoSpaceDN w:val="0"/>
                              <w:adjustRightInd w:val="0"/>
                              <w:rPr>
                                <w:rFonts w:ascii="ArialMT" w:hAnsi="ArialMT" w:cs="ArialMT"/>
                                <w:sz w:val="18"/>
                                <w:szCs w:val="18"/>
                              </w:rPr>
                            </w:pPr>
                            <w:r>
                              <w:rPr>
                                <w:rFonts w:ascii="ArialMT" w:hAnsi="ArialMT" w:cs="ArialMT"/>
                                <w:sz w:val="18"/>
                                <w:szCs w:val="18"/>
                              </w:rPr>
                              <w:t>Washington, D.C. 20011</w:t>
                            </w:r>
                          </w:p>
                          <w:p w14:paraId="55908F21" w14:textId="77777777" w:rsidR="00C241EF" w:rsidRDefault="00000000" w:rsidP="00C241EF">
                            <w:pPr>
                              <w:rPr>
                                <w:rFonts w:ascii="ArialMT" w:hAnsi="ArialMT" w:cs="ArialMT"/>
                                <w:sz w:val="18"/>
                                <w:szCs w:val="18"/>
                              </w:rPr>
                            </w:pPr>
                            <w:hyperlink r:id="rId9" w:history="1">
                              <w:r w:rsidR="00C241EF" w:rsidRPr="00685978">
                                <w:rPr>
                                  <w:rStyle w:val="Hyperlink"/>
                                  <w:rFonts w:ascii="ArialMT" w:hAnsi="ArialMT" w:cs="ArialMT"/>
                                  <w:sz w:val="18"/>
                                  <w:szCs w:val="18"/>
                                </w:rPr>
                                <w:t>www.dcogc.org</w:t>
                              </w:r>
                            </w:hyperlink>
                            <w:r w:rsidR="00C241EF">
                              <w:rPr>
                                <w:rFonts w:ascii="ArialMT" w:hAnsi="ArialMT" w:cs="ArialMT"/>
                                <w:sz w:val="18"/>
                                <w:szCs w:val="18"/>
                              </w:rPr>
                              <w:t xml:space="preserve"> -- 202-780-6020</w:t>
                            </w:r>
                          </w:p>
                          <w:p w14:paraId="25CFBAC8" w14:textId="77777777" w:rsidR="00C241EF" w:rsidRDefault="00C241EF" w:rsidP="00C241EF">
                            <w:pPr>
                              <w:rPr>
                                <w:rFonts w:ascii="ArialMT" w:hAnsi="ArialMT" w:cs="ArialMT"/>
                                <w:sz w:val="18"/>
                                <w:szCs w:val="18"/>
                              </w:rPr>
                            </w:pPr>
                          </w:p>
                          <w:p w14:paraId="2D3D63AC" w14:textId="77777777" w:rsidR="00C241EF" w:rsidRDefault="00C241EF" w:rsidP="00C241EF">
                            <w:pPr>
                              <w:rPr>
                                <w:rFonts w:ascii="ArialMT" w:hAnsi="ArialMT" w:cs="ArialMT"/>
                                <w:sz w:val="18"/>
                                <w:szCs w:val="18"/>
                              </w:rPr>
                            </w:pPr>
                          </w:p>
                          <w:p w14:paraId="27258F3C" w14:textId="77777777" w:rsidR="00C241EF" w:rsidRDefault="00C241EF" w:rsidP="00C241EF">
                            <w:pPr>
                              <w:rPr>
                                <w:rFonts w:ascii="ArialMT" w:hAnsi="ArialMT" w:cs="ArialMT"/>
                                <w:sz w:val="18"/>
                                <w:szCs w:val="18"/>
                              </w:rPr>
                            </w:pPr>
                          </w:p>
                          <w:p w14:paraId="66F4AACA" w14:textId="77777777" w:rsidR="00C241EF" w:rsidRDefault="00C241EF" w:rsidP="00C241EF">
                            <w:pPr>
                              <w:rPr>
                                <w:rFonts w:ascii="ArialMT" w:hAnsi="ArialMT" w:cs="ArialMT"/>
                                <w:sz w:val="18"/>
                                <w:szCs w:val="18"/>
                              </w:rPr>
                            </w:pPr>
                          </w:p>
                          <w:p w14:paraId="5348F7D9" w14:textId="77777777" w:rsidR="00C241EF" w:rsidRDefault="00C241EF" w:rsidP="00C241EF">
                            <w:pPr>
                              <w:rPr>
                                <w:rFonts w:ascii="ArialMT" w:hAnsi="ArialMT" w:cs="ArialMT"/>
                                <w:sz w:val="18"/>
                                <w:szCs w:val="18"/>
                              </w:rPr>
                            </w:pPr>
                          </w:p>
                          <w:p w14:paraId="31593253" w14:textId="77777777" w:rsidR="00C241EF" w:rsidRDefault="00C241EF" w:rsidP="00C241EF">
                            <w:pPr>
                              <w:rPr>
                                <w:rFonts w:ascii="ArialMT" w:hAnsi="ArialMT" w:cs="ArialMT"/>
                                <w:sz w:val="18"/>
                                <w:szCs w:val="18"/>
                              </w:rPr>
                            </w:pPr>
                          </w:p>
                          <w:p w14:paraId="45EC629C" w14:textId="77777777" w:rsidR="00C241EF" w:rsidRDefault="00C241EF" w:rsidP="00C241EF">
                            <w:pPr>
                              <w:rPr>
                                <w:rFonts w:ascii="ArialMT" w:hAnsi="ArialMT" w:cs="ArialMT"/>
                                <w:sz w:val="18"/>
                                <w:szCs w:val="18"/>
                              </w:rPr>
                            </w:pPr>
                          </w:p>
                          <w:p w14:paraId="188FC6F4" w14:textId="77777777" w:rsidR="00C241EF" w:rsidRDefault="00C241EF" w:rsidP="00C241EF">
                            <w:pPr>
                              <w:rPr>
                                <w:rFonts w:ascii="ArialMT" w:hAnsi="ArialMT" w:cs="ArialMT"/>
                                <w:sz w:val="18"/>
                                <w:szCs w:val="18"/>
                              </w:rPr>
                            </w:pPr>
                            <w:r>
                              <w:rPr>
                                <w:rFonts w:ascii="ArialMT" w:hAnsi="ArialMT" w:cs="ArialMT"/>
                                <w:sz w:val="18"/>
                                <w:szCs w:val="18"/>
                              </w:rPr>
                              <w:t>FFF</w:t>
                            </w:r>
                          </w:p>
                          <w:p w14:paraId="5ED02EAB" w14:textId="77777777" w:rsidR="00C241EF" w:rsidRDefault="00C241EF" w:rsidP="00C241EF">
                            <w:pPr>
                              <w:rPr>
                                <w:rFonts w:ascii="ArialMT" w:hAnsi="ArialMT" w:cs="ArialMT"/>
                                <w:sz w:val="18"/>
                                <w:szCs w:val="18"/>
                              </w:rPr>
                            </w:pPr>
                          </w:p>
                          <w:p w14:paraId="739B4084" w14:textId="77777777" w:rsidR="00C241EF" w:rsidRDefault="00C241EF" w:rsidP="00C241EF">
                            <w:pPr>
                              <w:rPr>
                                <w:rFonts w:ascii="ArialMT" w:hAnsi="ArialMT" w:cs="ArialMT"/>
                                <w:sz w:val="18"/>
                                <w:szCs w:val="18"/>
                              </w:rPr>
                            </w:pPr>
                          </w:p>
                          <w:p w14:paraId="26070576" w14:textId="77777777" w:rsidR="00C241EF" w:rsidRDefault="00C241EF" w:rsidP="00C241EF">
                            <w:pPr>
                              <w:rPr>
                                <w:rFonts w:ascii="ArialMT" w:hAnsi="ArialMT" w:cs="ArialMT"/>
                                <w:sz w:val="18"/>
                                <w:szCs w:val="18"/>
                              </w:rPr>
                            </w:pPr>
                          </w:p>
                          <w:p w14:paraId="76693CEE" w14:textId="77777777" w:rsidR="00C241EF" w:rsidRDefault="00C241EF" w:rsidP="00C241EF"/>
                          <w:p w14:paraId="3E537816" w14:textId="77777777" w:rsidR="00C241EF" w:rsidRDefault="00C241EF" w:rsidP="00C241EF"/>
                          <w:p w14:paraId="2332C720" w14:textId="77777777" w:rsidR="00C241EF" w:rsidRDefault="00C241EF" w:rsidP="00C241EF"/>
                          <w:p w14:paraId="6E0DD603" w14:textId="77777777" w:rsidR="00C241EF" w:rsidRDefault="00C241EF" w:rsidP="00C241EF"/>
                          <w:p w14:paraId="23D8248E" w14:textId="77777777" w:rsidR="00C241EF" w:rsidRDefault="00C241EF" w:rsidP="00C241EF"/>
                          <w:p w14:paraId="35FF31FB" w14:textId="77777777" w:rsidR="00C241EF" w:rsidRDefault="00C241EF" w:rsidP="00C241EF"/>
                          <w:p w14:paraId="1A2D2E39" w14:textId="77777777" w:rsidR="00C241EF" w:rsidRDefault="00C241EF" w:rsidP="00C241EF"/>
                          <w:p w14:paraId="5252F17C" w14:textId="77777777" w:rsidR="00C241EF" w:rsidRDefault="00C241EF" w:rsidP="00C241EF"/>
                          <w:p w14:paraId="53070567" w14:textId="77777777" w:rsidR="00C241EF" w:rsidRDefault="00C241EF" w:rsidP="00C241EF"/>
                          <w:p w14:paraId="4F6714B6" w14:textId="77777777" w:rsidR="00C241EF" w:rsidRDefault="00C241EF" w:rsidP="00C241EF"/>
                          <w:p w14:paraId="40927138" w14:textId="77777777" w:rsidR="00C241EF" w:rsidRDefault="00C241EF" w:rsidP="00C241EF"/>
                          <w:p w14:paraId="4D0E48C9" w14:textId="77777777" w:rsidR="00C241EF" w:rsidRDefault="00C241EF" w:rsidP="00C241EF"/>
                          <w:p w14:paraId="380B1FE3" w14:textId="77777777" w:rsidR="00C241EF" w:rsidRDefault="00C241EF" w:rsidP="00C241EF"/>
                          <w:p w14:paraId="1DD30B47" w14:textId="77777777" w:rsidR="00C241EF" w:rsidRDefault="00C241EF" w:rsidP="00C241EF"/>
                          <w:p w14:paraId="44646508" w14:textId="77777777" w:rsidR="00C241EF" w:rsidRDefault="00C241EF" w:rsidP="00C241EF"/>
                          <w:p w14:paraId="5A84AD42" w14:textId="77777777" w:rsidR="00C241EF" w:rsidRDefault="00C241EF" w:rsidP="00C241EF"/>
                          <w:p w14:paraId="2EF7B683" w14:textId="77777777" w:rsidR="00C241EF" w:rsidRDefault="00C241EF" w:rsidP="00C241EF"/>
                          <w:p w14:paraId="70218AE4" w14:textId="77777777" w:rsidR="00C241EF" w:rsidRDefault="00C241EF" w:rsidP="00C241EF"/>
                          <w:p w14:paraId="51DA3BB9" w14:textId="77777777" w:rsidR="00C241EF" w:rsidRDefault="00C241EF" w:rsidP="00C241EF"/>
                          <w:p w14:paraId="3C31FB74" w14:textId="77777777" w:rsidR="00C241EF" w:rsidRDefault="00C241EF" w:rsidP="00C241EF"/>
                          <w:p w14:paraId="64886369" w14:textId="77777777" w:rsidR="00C241EF" w:rsidRDefault="00C241EF" w:rsidP="00C241EF"/>
                          <w:p w14:paraId="5F5A9DEA" w14:textId="77777777" w:rsidR="00C241EF" w:rsidRDefault="00C241EF" w:rsidP="00C241EF"/>
                          <w:p w14:paraId="326913FE" w14:textId="77777777" w:rsidR="00C241EF" w:rsidRDefault="00C241EF" w:rsidP="00C241EF"/>
                          <w:p w14:paraId="0430C607" w14:textId="77777777" w:rsidR="00C241EF" w:rsidRDefault="00C241EF" w:rsidP="00C241EF"/>
                          <w:p w14:paraId="5E29AA59" w14:textId="77777777" w:rsidR="00C241EF" w:rsidRDefault="00C241EF" w:rsidP="00C241EF"/>
                          <w:p w14:paraId="7F78EDD2" w14:textId="77777777" w:rsidR="00C241EF" w:rsidRDefault="00C241EF" w:rsidP="00C241EF"/>
                          <w:p w14:paraId="5D489B28" w14:textId="77777777" w:rsidR="00C241EF" w:rsidRDefault="00C241EF" w:rsidP="00C241EF"/>
                          <w:p w14:paraId="45752FC3" w14:textId="77777777" w:rsidR="00C241EF" w:rsidRDefault="00C241EF" w:rsidP="00C241EF"/>
                          <w:p w14:paraId="3BB62AB3" w14:textId="77777777" w:rsidR="00C241EF" w:rsidRDefault="00C241EF" w:rsidP="00C241EF"/>
                          <w:p w14:paraId="5690ED38" w14:textId="77777777" w:rsidR="00C241EF" w:rsidRDefault="00C241EF" w:rsidP="00C2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F87DE" id="_x0000_t202" coordsize="21600,21600" o:spt="202" path="m,l,21600r21600,l21600,xe">
                <v:stroke joinstyle="miter"/>
                <v:path gradientshapeok="t" o:connecttype="rect"/>
              </v:shapetype>
              <v:shape id="Text Box 3" o:spid="_x0000_s1026" type="#_x0000_t202" style="position:absolute;left:0;text-align:left;margin-left:-16.5pt;margin-top:7.35pt;width:161.5pt;height:3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" stroked="f">
                <v:path arrowok="t"/>
                <v:textbox>
                  <w:txbxContent>
                    <w:p w14:paraId="12D1CC5F" w14:textId="77777777" w:rsidR="00C241EF" w:rsidRDefault="00C241EF" w:rsidP="00C241EF">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159A252B" w14:textId="77777777" w:rsidR="00C241EF" w:rsidRDefault="00C241EF" w:rsidP="00C241EF">
                      <w:pPr>
                        <w:autoSpaceDE w:val="0"/>
                        <w:autoSpaceDN w:val="0"/>
                        <w:adjustRightInd w:val="0"/>
                        <w:rPr>
                          <w:rFonts w:ascii="ArialMT" w:hAnsi="ArialMT" w:cs="ArialMT"/>
                          <w:sz w:val="18"/>
                          <w:szCs w:val="18"/>
                        </w:rPr>
                      </w:pPr>
                      <w:r>
                        <w:rPr>
                          <w:rFonts w:ascii="ArialMT" w:hAnsi="ArialMT" w:cs="ArialMT"/>
                          <w:sz w:val="18"/>
                          <w:szCs w:val="18"/>
                        </w:rPr>
                        <w:t>Washington, D.C. 20011</w:t>
                      </w:r>
                    </w:p>
                    <w:p w14:paraId="55908F21" w14:textId="77777777" w:rsidR="00C241EF" w:rsidRDefault="00000000" w:rsidP="00C241EF">
                      <w:pPr>
                        <w:rPr>
                          <w:rFonts w:ascii="ArialMT" w:hAnsi="ArialMT" w:cs="ArialMT"/>
                          <w:sz w:val="18"/>
                          <w:szCs w:val="18"/>
                        </w:rPr>
                      </w:pPr>
                      <w:hyperlink r:id="rId10" w:history="1">
                        <w:r w:rsidR="00C241EF" w:rsidRPr="00685978">
                          <w:rPr>
                            <w:rStyle w:val="Hyperlink"/>
                            <w:rFonts w:ascii="ArialMT" w:hAnsi="ArialMT" w:cs="ArialMT"/>
                            <w:sz w:val="18"/>
                            <w:szCs w:val="18"/>
                          </w:rPr>
                          <w:t>www.dcogc.org</w:t>
                        </w:r>
                      </w:hyperlink>
                      <w:r w:rsidR="00C241EF">
                        <w:rPr>
                          <w:rFonts w:ascii="ArialMT" w:hAnsi="ArialMT" w:cs="ArialMT"/>
                          <w:sz w:val="18"/>
                          <w:szCs w:val="18"/>
                        </w:rPr>
                        <w:t xml:space="preserve"> -- 202-780-6020</w:t>
                      </w:r>
                    </w:p>
                    <w:p w14:paraId="25CFBAC8" w14:textId="77777777" w:rsidR="00C241EF" w:rsidRDefault="00C241EF" w:rsidP="00C241EF">
                      <w:pPr>
                        <w:rPr>
                          <w:rFonts w:ascii="ArialMT" w:hAnsi="ArialMT" w:cs="ArialMT"/>
                          <w:sz w:val="18"/>
                          <w:szCs w:val="18"/>
                        </w:rPr>
                      </w:pPr>
                    </w:p>
                    <w:p w14:paraId="2D3D63AC" w14:textId="77777777" w:rsidR="00C241EF" w:rsidRDefault="00C241EF" w:rsidP="00C241EF">
                      <w:pPr>
                        <w:rPr>
                          <w:rFonts w:ascii="ArialMT" w:hAnsi="ArialMT" w:cs="ArialMT"/>
                          <w:sz w:val="18"/>
                          <w:szCs w:val="18"/>
                        </w:rPr>
                      </w:pPr>
                    </w:p>
                    <w:p w14:paraId="27258F3C" w14:textId="77777777" w:rsidR="00C241EF" w:rsidRDefault="00C241EF" w:rsidP="00C241EF">
                      <w:pPr>
                        <w:rPr>
                          <w:rFonts w:ascii="ArialMT" w:hAnsi="ArialMT" w:cs="ArialMT"/>
                          <w:sz w:val="18"/>
                          <w:szCs w:val="18"/>
                        </w:rPr>
                      </w:pPr>
                    </w:p>
                    <w:p w14:paraId="66F4AACA" w14:textId="77777777" w:rsidR="00C241EF" w:rsidRDefault="00C241EF" w:rsidP="00C241EF">
                      <w:pPr>
                        <w:rPr>
                          <w:rFonts w:ascii="ArialMT" w:hAnsi="ArialMT" w:cs="ArialMT"/>
                          <w:sz w:val="18"/>
                          <w:szCs w:val="18"/>
                        </w:rPr>
                      </w:pPr>
                    </w:p>
                    <w:p w14:paraId="5348F7D9" w14:textId="77777777" w:rsidR="00C241EF" w:rsidRDefault="00C241EF" w:rsidP="00C241EF">
                      <w:pPr>
                        <w:rPr>
                          <w:rFonts w:ascii="ArialMT" w:hAnsi="ArialMT" w:cs="ArialMT"/>
                          <w:sz w:val="18"/>
                          <w:szCs w:val="18"/>
                        </w:rPr>
                      </w:pPr>
                    </w:p>
                    <w:p w14:paraId="31593253" w14:textId="77777777" w:rsidR="00C241EF" w:rsidRDefault="00C241EF" w:rsidP="00C241EF">
                      <w:pPr>
                        <w:rPr>
                          <w:rFonts w:ascii="ArialMT" w:hAnsi="ArialMT" w:cs="ArialMT"/>
                          <w:sz w:val="18"/>
                          <w:szCs w:val="18"/>
                        </w:rPr>
                      </w:pPr>
                    </w:p>
                    <w:p w14:paraId="45EC629C" w14:textId="77777777" w:rsidR="00C241EF" w:rsidRDefault="00C241EF" w:rsidP="00C241EF">
                      <w:pPr>
                        <w:rPr>
                          <w:rFonts w:ascii="ArialMT" w:hAnsi="ArialMT" w:cs="ArialMT"/>
                          <w:sz w:val="18"/>
                          <w:szCs w:val="18"/>
                        </w:rPr>
                      </w:pPr>
                    </w:p>
                    <w:p w14:paraId="188FC6F4" w14:textId="77777777" w:rsidR="00C241EF" w:rsidRDefault="00C241EF" w:rsidP="00C241EF">
                      <w:pPr>
                        <w:rPr>
                          <w:rFonts w:ascii="ArialMT" w:hAnsi="ArialMT" w:cs="ArialMT"/>
                          <w:sz w:val="18"/>
                          <w:szCs w:val="18"/>
                        </w:rPr>
                      </w:pPr>
                      <w:r>
                        <w:rPr>
                          <w:rFonts w:ascii="ArialMT" w:hAnsi="ArialMT" w:cs="ArialMT"/>
                          <w:sz w:val="18"/>
                          <w:szCs w:val="18"/>
                        </w:rPr>
                        <w:t>FFF</w:t>
                      </w:r>
                    </w:p>
                    <w:p w14:paraId="5ED02EAB" w14:textId="77777777" w:rsidR="00C241EF" w:rsidRDefault="00C241EF" w:rsidP="00C241EF">
                      <w:pPr>
                        <w:rPr>
                          <w:rFonts w:ascii="ArialMT" w:hAnsi="ArialMT" w:cs="ArialMT"/>
                          <w:sz w:val="18"/>
                          <w:szCs w:val="18"/>
                        </w:rPr>
                      </w:pPr>
                    </w:p>
                    <w:p w14:paraId="739B4084" w14:textId="77777777" w:rsidR="00C241EF" w:rsidRDefault="00C241EF" w:rsidP="00C241EF">
                      <w:pPr>
                        <w:rPr>
                          <w:rFonts w:ascii="ArialMT" w:hAnsi="ArialMT" w:cs="ArialMT"/>
                          <w:sz w:val="18"/>
                          <w:szCs w:val="18"/>
                        </w:rPr>
                      </w:pPr>
                    </w:p>
                    <w:p w14:paraId="26070576" w14:textId="77777777" w:rsidR="00C241EF" w:rsidRDefault="00C241EF" w:rsidP="00C241EF">
                      <w:pPr>
                        <w:rPr>
                          <w:rFonts w:ascii="ArialMT" w:hAnsi="ArialMT" w:cs="ArialMT"/>
                          <w:sz w:val="18"/>
                          <w:szCs w:val="18"/>
                        </w:rPr>
                      </w:pPr>
                    </w:p>
                    <w:p w14:paraId="76693CEE" w14:textId="77777777" w:rsidR="00C241EF" w:rsidRDefault="00C241EF" w:rsidP="00C241EF"/>
                    <w:p w14:paraId="3E537816" w14:textId="77777777" w:rsidR="00C241EF" w:rsidRDefault="00C241EF" w:rsidP="00C241EF"/>
                    <w:p w14:paraId="2332C720" w14:textId="77777777" w:rsidR="00C241EF" w:rsidRDefault="00C241EF" w:rsidP="00C241EF"/>
                    <w:p w14:paraId="6E0DD603" w14:textId="77777777" w:rsidR="00C241EF" w:rsidRDefault="00C241EF" w:rsidP="00C241EF"/>
                    <w:p w14:paraId="23D8248E" w14:textId="77777777" w:rsidR="00C241EF" w:rsidRDefault="00C241EF" w:rsidP="00C241EF"/>
                    <w:p w14:paraId="35FF31FB" w14:textId="77777777" w:rsidR="00C241EF" w:rsidRDefault="00C241EF" w:rsidP="00C241EF"/>
                    <w:p w14:paraId="1A2D2E39" w14:textId="77777777" w:rsidR="00C241EF" w:rsidRDefault="00C241EF" w:rsidP="00C241EF"/>
                    <w:p w14:paraId="5252F17C" w14:textId="77777777" w:rsidR="00C241EF" w:rsidRDefault="00C241EF" w:rsidP="00C241EF"/>
                    <w:p w14:paraId="53070567" w14:textId="77777777" w:rsidR="00C241EF" w:rsidRDefault="00C241EF" w:rsidP="00C241EF"/>
                    <w:p w14:paraId="4F6714B6" w14:textId="77777777" w:rsidR="00C241EF" w:rsidRDefault="00C241EF" w:rsidP="00C241EF"/>
                    <w:p w14:paraId="40927138" w14:textId="77777777" w:rsidR="00C241EF" w:rsidRDefault="00C241EF" w:rsidP="00C241EF"/>
                    <w:p w14:paraId="4D0E48C9" w14:textId="77777777" w:rsidR="00C241EF" w:rsidRDefault="00C241EF" w:rsidP="00C241EF"/>
                    <w:p w14:paraId="380B1FE3" w14:textId="77777777" w:rsidR="00C241EF" w:rsidRDefault="00C241EF" w:rsidP="00C241EF"/>
                    <w:p w14:paraId="1DD30B47" w14:textId="77777777" w:rsidR="00C241EF" w:rsidRDefault="00C241EF" w:rsidP="00C241EF"/>
                    <w:p w14:paraId="44646508" w14:textId="77777777" w:rsidR="00C241EF" w:rsidRDefault="00C241EF" w:rsidP="00C241EF"/>
                    <w:p w14:paraId="5A84AD42" w14:textId="77777777" w:rsidR="00C241EF" w:rsidRDefault="00C241EF" w:rsidP="00C241EF"/>
                    <w:p w14:paraId="2EF7B683" w14:textId="77777777" w:rsidR="00C241EF" w:rsidRDefault="00C241EF" w:rsidP="00C241EF"/>
                    <w:p w14:paraId="70218AE4" w14:textId="77777777" w:rsidR="00C241EF" w:rsidRDefault="00C241EF" w:rsidP="00C241EF"/>
                    <w:p w14:paraId="51DA3BB9" w14:textId="77777777" w:rsidR="00C241EF" w:rsidRDefault="00C241EF" w:rsidP="00C241EF"/>
                    <w:p w14:paraId="3C31FB74" w14:textId="77777777" w:rsidR="00C241EF" w:rsidRDefault="00C241EF" w:rsidP="00C241EF"/>
                    <w:p w14:paraId="64886369" w14:textId="77777777" w:rsidR="00C241EF" w:rsidRDefault="00C241EF" w:rsidP="00C241EF"/>
                    <w:p w14:paraId="5F5A9DEA" w14:textId="77777777" w:rsidR="00C241EF" w:rsidRDefault="00C241EF" w:rsidP="00C241EF"/>
                    <w:p w14:paraId="326913FE" w14:textId="77777777" w:rsidR="00C241EF" w:rsidRDefault="00C241EF" w:rsidP="00C241EF"/>
                    <w:p w14:paraId="0430C607" w14:textId="77777777" w:rsidR="00C241EF" w:rsidRDefault="00C241EF" w:rsidP="00C241EF"/>
                    <w:p w14:paraId="5E29AA59" w14:textId="77777777" w:rsidR="00C241EF" w:rsidRDefault="00C241EF" w:rsidP="00C241EF"/>
                    <w:p w14:paraId="7F78EDD2" w14:textId="77777777" w:rsidR="00C241EF" w:rsidRDefault="00C241EF" w:rsidP="00C241EF"/>
                    <w:p w14:paraId="5D489B28" w14:textId="77777777" w:rsidR="00C241EF" w:rsidRDefault="00C241EF" w:rsidP="00C241EF"/>
                    <w:p w14:paraId="45752FC3" w14:textId="77777777" w:rsidR="00C241EF" w:rsidRDefault="00C241EF" w:rsidP="00C241EF"/>
                    <w:p w14:paraId="3BB62AB3" w14:textId="77777777" w:rsidR="00C241EF" w:rsidRDefault="00C241EF" w:rsidP="00C241EF"/>
                    <w:p w14:paraId="5690ED38" w14:textId="77777777" w:rsidR="00C241EF" w:rsidRDefault="00C241EF" w:rsidP="00C241EF"/>
                  </w:txbxContent>
                </v:textbox>
                <w10:wrap type="tight" anchorx="margin"/>
              </v:shape>
            </w:pict>
          </mc:Fallback>
        </mc:AlternateContent>
      </w:r>
    </w:p>
    <w:p w14:paraId="4F9C3887" w14:textId="3270DE21" w:rsidR="00C241EF" w:rsidRDefault="00C241EF" w:rsidP="00C241EF"/>
    <w:p w14:paraId="37316B62" w14:textId="77777777" w:rsidR="00C241EF" w:rsidRDefault="00C241EF" w:rsidP="00C241EF"/>
    <w:p w14:paraId="4B2F2DB2" w14:textId="2367F9EA" w:rsidR="00C241EF" w:rsidRPr="00154F8E" w:rsidRDefault="00184FA8" w:rsidP="00777408">
      <w:pPr>
        <w:pStyle w:val="Subtitle"/>
        <w:ind w:left="0"/>
        <w:rPr>
          <w:rFonts w:ascii="Times New Roman" w:hAnsi="Times New Roman"/>
          <w:b/>
          <w:u w:val="none"/>
        </w:rPr>
      </w:pPr>
      <w:r>
        <w:rPr>
          <w:rFonts w:ascii="Times New Roman" w:hAnsi="Times New Roman"/>
          <w:b/>
          <w:u w:val="none"/>
        </w:rPr>
        <w:t xml:space="preserve">        </w:t>
      </w:r>
      <w:r w:rsidR="00607119">
        <w:rPr>
          <w:rFonts w:ascii="Times New Roman" w:hAnsi="Times New Roman"/>
          <w:b/>
          <w:u w:val="none"/>
        </w:rPr>
        <w:tab/>
      </w:r>
      <w:r w:rsidR="00607119">
        <w:rPr>
          <w:rFonts w:ascii="Times New Roman" w:hAnsi="Times New Roman"/>
          <w:b/>
          <w:u w:val="none"/>
        </w:rPr>
        <w:tab/>
      </w:r>
      <w:r w:rsidR="00777408">
        <w:rPr>
          <w:rFonts w:ascii="Times New Roman" w:hAnsi="Times New Roman"/>
          <w:b/>
          <w:u w:val="none"/>
        </w:rPr>
        <w:t xml:space="preserve">               </w:t>
      </w:r>
      <w:r w:rsidR="004D0797">
        <w:rPr>
          <w:rFonts w:ascii="Times New Roman" w:hAnsi="Times New Roman"/>
          <w:b/>
          <w:u w:val="none"/>
        </w:rPr>
        <w:t xml:space="preserve">Statement by </w:t>
      </w:r>
      <w:r w:rsidR="00777408">
        <w:rPr>
          <w:rFonts w:ascii="Times New Roman" w:hAnsi="Times New Roman"/>
          <w:b/>
          <w:u w:val="none"/>
        </w:rPr>
        <w:t>D</w:t>
      </w:r>
      <w:r w:rsidR="00C241EF" w:rsidRPr="00154F8E">
        <w:rPr>
          <w:rFonts w:ascii="Times New Roman" w:hAnsi="Times New Roman"/>
          <w:b/>
          <w:u w:val="none"/>
        </w:rPr>
        <w:t xml:space="preserve">.C. Open Government Coalition </w:t>
      </w:r>
    </w:p>
    <w:p w14:paraId="6BF8E9FE" w14:textId="77777777" w:rsidR="00C241EF" w:rsidRPr="00154F8E" w:rsidRDefault="00C241EF" w:rsidP="00C241EF">
      <w:pPr>
        <w:jc w:val="center"/>
      </w:pPr>
    </w:p>
    <w:p w14:paraId="4735976E" w14:textId="06F6273C" w:rsidR="00C241EF" w:rsidRPr="00154F8E" w:rsidRDefault="004D0797" w:rsidP="00C241EF">
      <w:pPr>
        <w:jc w:val="center"/>
      </w:pPr>
      <w:r>
        <w:t xml:space="preserve">Submitted </w:t>
      </w:r>
      <w:r w:rsidR="00C241EF" w:rsidRPr="00154F8E">
        <w:t>by</w:t>
      </w:r>
    </w:p>
    <w:p w14:paraId="71BAFD3F" w14:textId="77777777" w:rsidR="00C241EF" w:rsidRPr="002C36B9" w:rsidRDefault="00C241EF" w:rsidP="00C241EF">
      <w:pPr>
        <w:ind w:left="-360" w:firstLine="360"/>
        <w:jc w:val="center"/>
        <w:rPr>
          <w:b/>
          <w:bCs/>
        </w:rPr>
      </w:pPr>
      <w:r w:rsidRPr="002C36B9">
        <w:rPr>
          <w:b/>
          <w:bCs/>
        </w:rPr>
        <w:t>Fritz Mulhauser</w:t>
      </w:r>
    </w:p>
    <w:p w14:paraId="2D92499B" w14:textId="77777777" w:rsidR="00C241EF" w:rsidRPr="00154F8E" w:rsidRDefault="00C241EF" w:rsidP="00C241EF">
      <w:pPr>
        <w:jc w:val="center"/>
      </w:pPr>
      <w:r w:rsidRPr="00154F8E">
        <w:t xml:space="preserve">Co-Chair, Coalition Legal Committee </w:t>
      </w:r>
    </w:p>
    <w:p w14:paraId="601E928D" w14:textId="77777777" w:rsidR="00C241EF" w:rsidRPr="00154F8E" w:rsidRDefault="00C241EF" w:rsidP="00C241EF">
      <w:pPr>
        <w:jc w:val="center"/>
      </w:pPr>
    </w:p>
    <w:p w14:paraId="0FE923DC" w14:textId="1C53D021" w:rsidR="00C241EF" w:rsidRPr="00154F8E" w:rsidRDefault="004D0797" w:rsidP="00C241EF">
      <w:pPr>
        <w:jc w:val="center"/>
        <w:rPr>
          <w:b/>
          <w:bCs/>
        </w:rPr>
      </w:pPr>
      <w:r>
        <w:t xml:space="preserve">For the hearing record </w:t>
      </w:r>
    </w:p>
    <w:p w14:paraId="7E117354" w14:textId="5382E5AB" w:rsidR="00C241EF" w:rsidRDefault="00C241EF" w:rsidP="00C241EF">
      <w:pPr>
        <w:jc w:val="center"/>
        <w:rPr>
          <w:bCs/>
        </w:rPr>
      </w:pPr>
      <w:r w:rsidRPr="00154F8E">
        <w:rPr>
          <w:bCs/>
        </w:rPr>
        <w:t>Council of the District of Columbia</w:t>
      </w:r>
      <w:r>
        <w:rPr>
          <w:bCs/>
        </w:rPr>
        <w:t xml:space="preserve">, </w:t>
      </w:r>
      <w:r w:rsidRPr="00154F8E">
        <w:rPr>
          <w:bCs/>
        </w:rPr>
        <w:t xml:space="preserve">Committee on </w:t>
      </w:r>
      <w:r w:rsidR="004D0797">
        <w:rPr>
          <w:bCs/>
        </w:rPr>
        <w:t>Facilities &amp; Family Services</w:t>
      </w:r>
      <w:r w:rsidRPr="00154F8E">
        <w:rPr>
          <w:bCs/>
        </w:rPr>
        <w:t xml:space="preserve"> </w:t>
      </w:r>
    </w:p>
    <w:p w14:paraId="7E82577F" w14:textId="77777777" w:rsidR="00C241EF" w:rsidRPr="00154F8E" w:rsidRDefault="00C241EF" w:rsidP="00C241EF">
      <w:pPr>
        <w:jc w:val="center"/>
        <w:rPr>
          <w:bCs/>
        </w:rPr>
      </w:pPr>
    </w:p>
    <w:p w14:paraId="6963983F" w14:textId="02BC56BF" w:rsidR="00C241EF" w:rsidRPr="00EC209D" w:rsidRDefault="00C241EF" w:rsidP="00C241EF">
      <w:pPr>
        <w:jc w:val="center"/>
      </w:pPr>
      <w:r>
        <w:t xml:space="preserve">FY 22 Performance Oversight – </w:t>
      </w:r>
      <w:r w:rsidR="004D0797">
        <w:t>Department of General Services</w:t>
      </w:r>
      <w:r w:rsidR="008C1623">
        <w:t xml:space="preserve"> </w:t>
      </w:r>
      <w:r>
        <w:t xml:space="preserve">   </w:t>
      </w:r>
    </w:p>
    <w:p w14:paraId="2CD4A57E" w14:textId="77777777" w:rsidR="00C241EF" w:rsidRPr="00EC209D" w:rsidRDefault="00C241EF" w:rsidP="00C241EF">
      <w:pPr>
        <w:jc w:val="center"/>
      </w:pPr>
    </w:p>
    <w:p w14:paraId="74DDAF3B" w14:textId="765B6439" w:rsidR="00C241EF" w:rsidRDefault="00C241EF" w:rsidP="00963229">
      <w:pPr>
        <w:pBdr>
          <w:bottom w:val="single" w:sz="12" w:space="0" w:color="auto"/>
        </w:pBdr>
        <w:jc w:val="center"/>
      </w:pPr>
      <w:r>
        <w:t xml:space="preserve">February </w:t>
      </w:r>
      <w:r w:rsidR="008C1623">
        <w:t>2</w:t>
      </w:r>
      <w:r w:rsidR="004D0797">
        <w:t>8</w:t>
      </w:r>
      <w:r w:rsidR="008C1623">
        <w:t>,</w:t>
      </w:r>
      <w:r>
        <w:t xml:space="preserve"> 2023 </w:t>
      </w:r>
    </w:p>
    <w:p w14:paraId="7798702D" w14:textId="77777777" w:rsidR="00C241EF" w:rsidRDefault="00C241EF" w:rsidP="00963229">
      <w:pPr>
        <w:pBdr>
          <w:bottom w:val="single" w:sz="12" w:space="0" w:color="auto"/>
        </w:pBdr>
        <w:jc w:val="center"/>
      </w:pPr>
    </w:p>
    <w:p w14:paraId="2E147765" w14:textId="77777777" w:rsidR="00C241EF" w:rsidRPr="00E07413" w:rsidRDefault="00C241EF" w:rsidP="00C241EF">
      <w:pPr>
        <w:jc w:val="center"/>
      </w:pPr>
    </w:p>
    <w:p w14:paraId="0A065A2A" w14:textId="2FD8B969" w:rsidR="00300302" w:rsidRDefault="00C241EF" w:rsidP="008C1623">
      <w:pPr>
        <w:spacing w:line="240" w:lineRule="auto"/>
        <w:ind w:left="14" w:hanging="14"/>
        <w:contextualSpacing/>
      </w:pPr>
      <w:r w:rsidRPr="008824F7">
        <w:t xml:space="preserve">Thank you for the opportunity to provide views on the performance of the </w:t>
      </w:r>
      <w:r w:rsidR="004D0797">
        <w:t>Department of General Services</w:t>
      </w:r>
      <w:r w:rsidR="00B1566A">
        <w:t xml:space="preserve"> (DGS)</w:t>
      </w:r>
      <w:r w:rsidR="004D0797">
        <w:t xml:space="preserve">. </w:t>
      </w:r>
      <w:r w:rsidR="008C1623">
        <w:t xml:space="preserve"> </w:t>
      </w:r>
      <w:r w:rsidR="00BE1F3C">
        <w:t xml:space="preserve">We work in coalition with </w:t>
      </w:r>
      <w:r w:rsidR="008B12DB">
        <w:t xml:space="preserve">the many longstanding </w:t>
      </w:r>
      <w:r w:rsidR="00BE1F3C">
        <w:t>archives advocates</w:t>
      </w:r>
      <w:r w:rsidR="008B12DB">
        <w:t xml:space="preserve"> in the community</w:t>
      </w:r>
      <w:r w:rsidR="00BE1F3C">
        <w:t xml:space="preserve">, as part of our </w:t>
      </w:r>
      <w:r w:rsidR="008B12DB">
        <w:t xml:space="preserve">advocacy for </w:t>
      </w:r>
      <w:r w:rsidR="00777408">
        <w:t xml:space="preserve">effective </w:t>
      </w:r>
      <w:r w:rsidR="00BE1F3C">
        <w:t>public access to government records old and new.</w:t>
      </w:r>
    </w:p>
    <w:p w14:paraId="77772D5E" w14:textId="77777777" w:rsidR="00300302" w:rsidRDefault="00300302" w:rsidP="008C1623">
      <w:pPr>
        <w:spacing w:line="240" w:lineRule="auto"/>
        <w:ind w:left="14" w:hanging="14"/>
        <w:contextualSpacing/>
      </w:pPr>
    </w:p>
    <w:p w14:paraId="2F48687F" w14:textId="7C9BC0E6" w:rsidR="002C21D7" w:rsidRDefault="004D0797" w:rsidP="004D0797">
      <w:pPr>
        <w:spacing w:line="240" w:lineRule="auto"/>
        <w:ind w:left="14" w:hanging="14"/>
        <w:contextualSpacing/>
      </w:pPr>
      <w:r>
        <w:t>DGS</w:t>
      </w:r>
      <w:r w:rsidR="00B1566A">
        <w:t xml:space="preserve"> manages the construction project that will result in a </w:t>
      </w:r>
      <w:r w:rsidR="00134EF5">
        <w:t>new archive</w:t>
      </w:r>
      <w:r w:rsidR="00B1566A">
        <w:t xml:space="preserve"> building in three years. </w:t>
      </w:r>
      <w:r w:rsidR="008B12DB">
        <w:t xml:space="preserve">Good news </w:t>
      </w:r>
      <w:r w:rsidR="000F1E9E">
        <w:t xml:space="preserve">last year </w:t>
      </w:r>
      <w:r w:rsidR="008B12DB">
        <w:t>included fil</w:t>
      </w:r>
      <w:r w:rsidR="00654694">
        <w:t>l</w:t>
      </w:r>
      <w:r w:rsidR="008B12DB">
        <w:t xml:space="preserve">ing </w:t>
      </w:r>
      <w:r w:rsidR="00654694">
        <w:t>the key position of D.C</w:t>
      </w:r>
      <w:r w:rsidR="00382A89">
        <w:t>.</w:t>
      </w:r>
      <w:r w:rsidR="00654694">
        <w:t xml:space="preserve"> Archivist and </w:t>
      </w:r>
      <w:r w:rsidR="008B12DB">
        <w:t>r</w:t>
      </w:r>
      <w:r w:rsidR="000F1E9E">
        <w:t>e</w:t>
      </w:r>
      <w:r w:rsidR="00B1566A">
        <w:t>start</w:t>
      </w:r>
      <w:r w:rsidR="008B12DB">
        <w:t xml:space="preserve">ing planning </w:t>
      </w:r>
      <w:r w:rsidR="000F1E9E">
        <w:t xml:space="preserve">with </w:t>
      </w:r>
      <w:r w:rsidR="00B1566A">
        <w:t>an architectural design contract awarded to Hartman-Cox with EYA</w:t>
      </w:r>
      <w:r w:rsidR="008B12DB">
        <w:t>. These were significant milestones by OS and DGS</w:t>
      </w:r>
      <w:r w:rsidR="002C21D7">
        <w:t xml:space="preserve">. </w:t>
      </w:r>
      <w:r w:rsidR="00777408">
        <w:t xml:space="preserve">And the </w:t>
      </w:r>
      <w:r w:rsidR="008B12DB">
        <w:t xml:space="preserve">firm </w:t>
      </w:r>
      <w:r w:rsidR="000F1E9E">
        <w:t>submitted building ideas</w:t>
      </w:r>
      <w:r w:rsidR="008B12DB">
        <w:t xml:space="preserve"> in the fall</w:t>
      </w:r>
      <w:r w:rsidR="002C21D7">
        <w:t xml:space="preserve"> and drawings in December. </w:t>
      </w:r>
    </w:p>
    <w:p w14:paraId="5998BDFD" w14:textId="77777777" w:rsidR="002C21D7" w:rsidRDefault="002C21D7" w:rsidP="004D0797">
      <w:pPr>
        <w:spacing w:line="240" w:lineRule="auto"/>
        <w:ind w:left="14" w:hanging="14"/>
        <w:contextualSpacing/>
      </w:pPr>
    </w:p>
    <w:p w14:paraId="06BDD6E2" w14:textId="6944EC5E" w:rsidR="00654694" w:rsidRDefault="002C21D7" w:rsidP="004D0797">
      <w:pPr>
        <w:spacing w:line="240" w:lineRule="auto"/>
        <w:ind w:left="14" w:hanging="14"/>
        <w:contextualSpacing/>
      </w:pPr>
      <w:r>
        <w:t xml:space="preserve">The key issue for the hearing must be to communicate to DGS and the executive the </w:t>
      </w:r>
      <w:r w:rsidRPr="002C21D7">
        <w:rPr>
          <w:b/>
          <w:bCs/>
          <w:u w:val="single"/>
        </w:rPr>
        <w:t>urgent need for several substantive public consultations</w:t>
      </w:r>
      <w:r>
        <w:t xml:space="preserve"> on programming and how that is to be reflected in the design. This need arises since DGS and its architects have ignored Council’s repeated requirements for public engagement, yet with every passing day decisions are being made </w:t>
      </w:r>
      <w:r w:rsidR="00761904">
        <w:t xml:space="preserve">behind closed doors </w:t>
      </w:r>
      <w:r>
        <w:t xml:space="preserve">in preparing </w:t>
      </w:r>
      <w:r w:rsidR="00777408">
        <w:t xml:space="preserve">further highly detailed </w:t>
      </w:r>
      <w:r>
        <w:t>filings for various review bodies such as zoning.</w:t>
      </w:r>
    </w:p>
    <w:p w14:paraId="141DDA74" w14:textId="77777777" w:rsidR="002C21D7" w:rsidRDefault="002C21D7" w:rsidP="004D0797">
      <w:pPr>
        <w:spacing w:line="240" w:lineRule="auto"/>
        <w:ind w:left="14" w:hanging="14"/>
        <w:contextualSpacing/>
      </w:pPr>
    </w:p>
    <w:p w14:paraId="7F70E003" w14:textId="024DA223" w:rsidR="00654694" w:rsidRPr="00654694" w:rsidRDefault="00654694" w:rsidP="004D0797">
      <w:pPr>
        <w:spacing w:line="240" w:lineRule="auto"/>
        <w:ind w:left="14" w:hanging="14"/>
        <w:contextualSpacing/>
        <w:rPr>
          <w:b/>
          <w:bCs/>
          <w:u w:val="single"/>
        </w:rPr>
      </w:pPr>
      <w:r w:rsidRPr="00654694">
        <w:rPr>
          <w:b/>
          <w:bCs/>
          <w:u w:val="single"/>
        </w:rPr>
        <w:t xml:space="preserve">Council directions </w:t>
      </w:r>
      <w:r w:rsidR="00761904">
        <w:rPr>
          <w:b/>
          <w:bCs/>
          <w:u w:val="single"/>
        </w:rPr>
        <w:t xml:space="preserve">for planning process elements </w:t>
      </w:r>
      <w:r w:rsidRPr="00654694">
        <w:rPr>
          <w:b/>
          <w:bCs/>
          <w:u w:val="single"/>
        </w:rPr>
        <w:t xml:space="preserve">remain </w:t>
      </w:r>
      <w:r w:rsidR="00134EF5" w:rsidRPr="00654694">
        <w:rPr>
          <w:b/>
          <w:bCs/>
          <w:u w:val="single"/>
        </w:rPr>
        <w:t>unfulfilled.</w:t>
      </w:r>
    </w:p>
    <w:p w14:paraId="7C4DCD14" w14:textId="77777777" w:rsidR="00B1566A" w:rsidRDefault="00B1566A" w:rsidP="004D0797">
      <w:pPr>
        <w:spacing w:line="240" w:lineRule="auto"/>
        <w:ind w:left="14" w:hanging="14"/>
        <w:contextualSpacing/>
      </w:pPr>
    </w:p>
    <w:p w14:paraId="61B15EE6" w14:textId="156098C9" w:rsidR="00B1566A" w:rsidRDefault="002C21D7" w:rsidP="00B1566A">
      <w:pPr>
        <w:spacing w:line="240" w:lineRule="auto"/>
        <w:ind w:left="0" w:firstLine="0"/>
        <w:contextualSpacing/>
      </w:pPr>
      <w:r>
        <w:t>The DGS FY23 b</w:t>
      </w:r>
      <w:r w:rsidR="008B12DB">
        <w:t xml:space="preserve">udget report </w:t>
      </w:r>
      <w:r>
        <w:t>of t</w:t>
      </w:r>
      <w:r w:rsidR="008B12DB">
        <w:t xml:space="preserve">he </w:t>
      </w:r>
      <w:r w:rsidR="008B12DB">
        <w:t xml:space="preserve">Council Committee on Government Operations &amp; Facilities </w:t>
      </w:r>
      <w:r w:rsidR="008B12DB">
        <w:t xml:space="preserve">provided specific directions </w:t>
      </w:r>
      <w:r w:rsidR="00B150A6">
        <w:t xml:space="preserve">based on public witnesses’ </w:t>
      </w:r>
      <w:r>
        <w:t>testimony last spring, including by the Open Government Coalition. Unfortunately, the guidance has</w:t>
      </w:r>
      <w:r w:rsidR="00777408">
        <w:t xml:space="preserve"> </w:t>
      </w:r>
      <w:r w:rsidR="00B150A6">
        <w:t xml:space="preserve">been </w:t>
      </w:r>
      <w:r w:rsidR="00BE1F3C">
        <w:t>little followed</w:t>
      </w:r>
      <w:r w:rsidR="00B1566A">
        <w:t>.</w:t>
      </w:r>
      <w:r w:rsidR="00B1566A">
        <w:rPr>
          <w:rStyle w:val="FootnoteReference"/>
        </w:rPr>
        <w:footnoteReference w:id="1"/>
      </w:r>
      <w:r w:rsidR="00B1566A">
        <w:t xml:space="preserve"> </w:t>
      </w:r>
    </w:p>
    <w:p w14:paraId="64A2833D" w14:textId="77777777" w:rsidR="00B150A6" w:rsidRDefault="00B150A6" w:rsidP="00B150A6">
      <w:pPr>
        <w:spacing w:line="240" w:lineRule="auto"/>
        <w:rPr>
          <w:rStyle w:val="markedcontent"/>
          <w:b/>
          <w:bCs/>
        </w:rPr>
      </w:pPr>
    </w:p>
    <w:p w14:paraId="58AC9BFE" w14:textId="77777777" w:rsidR="00777408" w:rsidRDefault="00777408" w:rsidP="00B150A6">
      <w:pPr>
        <w:spacing w:line="240" w:lineRule="auto"/>
        <w:rPr>
          <w:rStyle w:val="markedcontent"/>
          <w:b/>
          <w:bCs/>
        </w:rPr>
      </w:pPr>
    </w:p>
    <w:p w14:paraId="417CB9F6" w14:textId="77777777" w:rsidR="00777408" w:rsidRDefault="00777408" w:rsidP="00B150A6">
      <w:pPr>
        <w:spacing w:line="240" w:lineRule="auto"/>
        <w:rPr>
          <w:rStyle w:val="markedcontent"/>
          <w:b/>
          <w:bCs/>
        </w:rPr>
      </w:pPr>
    </w:p>
    <w:p w14:paraId="08D82A92" w14:textId="2D9D6AE6" w:rsidR="000F1E9E" w:rsidRDefault="00B150A6" w:rsidP="00B150A6">
      <w:pPr>
        <w:spacing w:line="240" w:lineRule="auto"/>
        <w:rPr>
          <w:rStyle w:val="markedcontent"/>
        </w:rPr>
      </w:pPr>
      <w:r w:rsidRPr="00B150A6">
        <w:rPr>
          <w:rStyle w:val="markedcontent"/>
          <w:b/>
          <w:bCs/>
        </w:rPr>
        <w:t xml:space="preserve">1. </w:t>
      </w:r>
      <w:r w:rsidRPr="00BE1F3C">
        <w:rPr>
          <w:rStyle w:val="markedcontent"/>
          <w:b/>
          <w:bCs/>
          <w:u w:val="single"/>
        </w:rPr>
        <w:t xml:space="preserve">Community advisors </w:t>
      </w:r>
      <w:r w:rsidR="008B12DB">
        <w:rPr>
          <w:rStyle w:val="markedcontent"/>
          <w:b/>
          <w:bCs/>
          <w:u w:val="single"/>
        </w:rPr>
        <w:t>need to be used more</w:t>
      </w:r>
      <w:r w:rsidR="00ED1D50">
        <w:rPr>
          <w:rStyle w:val="markedcontent"/>
          <w:b/>
          <w:bCs/>
          <w:u w:val="single"/>
        </w:rPr>
        <w:t xml:space="preserve"> and better</w:t>
      </w:r>
      <w:r>
        <w:rPr>
          <w:rStyle w:val="markedcontent"/>
          <w:b/>
          <w:bCs/>
        </w:rPr>
        <w:t>.</w:t>
      </w:r>
      <w:r>
        <w:rPr>
          <w:rStyle w:val="markedcontent"/>
        </w:rPr>
        <w:t xml:space="preserve"> </w:t>
      </w:r>
      <w:r w:rsidR="00777408">
        <w:rPr>
          <w:rStyle w:val="markedcontent"/>
        </w:rPr>
        <w:t>W</w:t>
      </w:r>
      <w:r w:rsidR="00777408">
        <w:rPr>
          <w:rStyle w:val="markedcontent"/>
        </w:rPr>
        <w:t>riting last spring</w:t>
      </w:r>
      <w:r w:rsidR="00777408">
        <w:rPr>
          <w:rStyle w:val="markedcontent"/>
        </w:rPr>
        <w:t xml:space="preserve">, the </w:t>
      </w:r>
      <w:r w:rsidR="000F1E9E">
        <w:rPr>
          <w:rStyle w:val="markedcontent"/>
        </w:rPr>
        <w:t xml:space="preserve">Committee </w:t>
      </w:r>
      <w:r w:rsidR="00777408">
        <w:rPr>
          <w:rStyle w:val="markedcontent"/>
        </w:rPr>
        <w:t>“</w:t>
      </w:r>
      <w:r w:rsidR="000F1E9E">
        <w:rPr>
          <w:rStyle w:val="markedcontent"/>
        </w:rPr>
        <w:t>urge</w:t>
      </w:r>
      <w:r w:rsidR="00777408">
        <w:rPr>
          <w:rStyle w:val="markedcontent"/>
        </w:rPr>
        <w:t>[d]</w:t>
      </w:r>
      <w:r w:rsidR="000F1E9E">
        <w:rPr>
          <w:rStyle w:val="markedcontent"/>
        </w:rPr>
        <w:t xml:space="preserve"> DGS to include the Archives Advisory Group</w:t>
      </w:r>
      <w:r w:rsidR="000F1E9E">
        <w:rPr>
          <w:rStyle w:val="markedcontent"/>
        </w:rPr>
        <w:t xml:space="preserve"> </w:t>
      </w:r>
      <w:r w:rsidR="000F1E9E">
        <w:rPr>
          <w:rStyle w:val="markedcontent"/>
        </w:rPr>
        <w:t>in its decision-making around the Archives project, especially as it relates to the architecture and</w:t>
      </w:r>
      <w:r w:rsidR="000F1E9E">
        <w:rPr>
          <w:rStyle w:val="markedcontent"/>
        </w:rPr>
        <w:t xml:space="preserve"> </w:t>
      </w:r>
      <w:r w:rsidR="000F1E9E">
        <w:rPr>
          <w:rStyle w:val="markedcontent"/>
        </w:rPr>
        <w:t>engineering work that DGS has already begun to procure for the project.</w:t>
      </w:r>
      <w:r w:rsidR="000F1E9E">
        <w:rPr>
          <w:rStyle w:val="markedcontent"/>
        </w:rPr>
        <w:t xml:space="preserve">” </w:t>
      </w:r>
    </w:p>
    <w:p w14:paraId="7854CCC2" w14:textId="77777777" w:rsidR="000F1E9E" w:rsidRDefault="000F1E9E" w:rsidP="000F1E9E">
      <w:pPr>
        <w:pStyle w:val="ListParagraph"/>
        <w:spacing w:line="240" w:lineRule="auto"/>
        <w:ind w:left="360" w:firstLine="0"/>
        <w:rPr>
          <w:rStyle w:val="markedcontent"/>
        </w:rPr>
      </w:pPr>
    </w:p>
    <w:p w14:paraId="421828C8" w14:textId="095950AB" w:rsidR="00BE1F3C" w:rsidRDefault="00B150A6" w:rsidP="00B150A6">
      <w:pPr>
        <w:pStyle w:val="ListParagraph"/>
        <w:spacing w:line="240" w:lineRule="auto"/>
        <w:ind w:left="0" w:firstLine="0"/>
        <w:rPr>
          <w:rStyle w:val="markedcontent"/>
        </w:rPr>
      </w:pPr>
      <w:r>
        <w:rPr>
          <w:rStyle w:val="markedcontent"/>
        </w:rPr>
        <w:t>To “in</w:t>
      </w:r>
      <w:r w:rsidR="00777408">
        <w:rPr>
          <w:rStyle w:val="markedcontent"/>
        </w:rPr>
        <w:t>clude</w:t>
      </w:r>
      <w:r>
        <w:rPr>
          <w:rStyle w:val="markedcontent"/>
        </w:rPr>
        <w:t>”</w:t>
      </w:r>
      <w:r w:rsidR="00BE1F3C">
        <w:rPr>
          <w:rStyle w:val="markedcontent"/>
        </w:rPr>
        <w:t xml:space="preserve"> in our view sh</w:t>
      </w:r>
      <w:r>
        <w:rPr>
          <w:rStyle w:val="markedcontent"/>
        </w:rPr>
        <w:t>ould mean more than occasional chats</w:t>
      </w:r>
      <w:r w:rsidR="00960E42">
        <w:rPr>
          <w:rStyle w:val="markedcontent"/>
        </w:rPr>
        <w:t xml:space="preserve"> or public briefings</w:t>
      </w:r>
      <w:r>
        <w:rPr>
          <w:rStyle w:val="markedcontent"/>
        </w:rPr>
        <w:t xml:space="preserve"> and </w:t>
      </w:r>
      <w:r w:rsidR="00960E42">
        <w:rPr>
          <w:rStyle w:val="markedcontent"/>
        </w:rPr>
        <w:t xml:space="preserve">forwarding contract deliverables by </w:t>
      </w:r>
      <w:r w:rsidR="00F93FBA">
        <w:rPr>
          <w:rStyle w:val="markedcontent"/>
        </w:rPr>
        <w:t xml:space="preserve">a </w:t>
      </w:r>
      <w:r w:rsidR="00960E42">
        <w:rPr>
          <w:rStyle w:val="markedcontent"/>
        </w:rPr>
        <w:t>public website. B</w:t>
      </w:r>
      <w:r w:rsidR="00BE1F3C">
        <w:rPr>
          <w:rStyle w:val="markedcontent"/>
        </w:rPr>
        <w:t xml:space="preserve">ut </w:t>
      </w:r>
      <w:r w:rsidR="00BE1F3C" w:rsidRPr="00B2494A">
        <w:rPr>
          <w:rStyle w:val="markedcontent"/>
          <w:b/>
          <w:bCs/>
          <w:u w:val="single"/>
        </w:rPr>
        <w:t xml:space="preserve">there has not been </w:t>
      </w:r>
      <w:r w:rsidR="000F1E9E" w:rsidRPr="00B2494A">
        <w:rPr>
          <w:rStyle w:val="markedcontent"/>
          <w:b/>
          <w:bCs/>
          <w:u w:val="single"/>
        </w:rPr>
        <w:t xml:space="preserve">substantial </w:t>
      </w:r>
      <w:r w:rsidR="00BE1F3C" w:rsidRPr="00B2494A">
        <w:rPr>
          <w:rStyle w:val="markedcontent"/>
          <w:b/>
          <w:bCs/>
          <w:u w:val="single"/>
        </w:rPr>
        <w:t>involvement</w:t>
      </w:r>
      <w:r w:rsidR="00BE1F3C">
        <w:rPr>
          <w:rStyle w:val="markedcontent"/>
        </w:rPr>
        <w:t xml:space="preserve"> that we can see. On the contrary, w</w:t>
      </w:r>
      <w:r w:rsidR="000F1E9E">
        <w:rPr>
          <w:rStyle w:val="markedcontent"/>
        </w:rPr>
        <w:t xml:space="preserve">e </w:t>
      </w:r>
      <w:r>
        <w:rPr>
          <w:rStyle w:val="markedcontent"/>
        </w:rPr>
        <w:t xml:space="preserve">observe </w:t>
      </w:r>
      <w:r w:rsidR="000F1E9E">
        <w:rPr>
          <w:rStyle w:val="markedcontent"/>
        </w:rPr>
        <w:t xml:space="preserve">the Advisory Group </w:t>
      </w:r>
      <w:r w:rsidR="00134EF5">
        <w:rPr>
          <w:rStyle w:val="markedcontent"/>
        </w:rPr>
        <w:t>meetings,</w:t>
      </w:r>
      <w:r w:rsidR="000F1E9E">
        <w:rPr>
          <w:rStyle w:val="markedcontent"/>
        </w:rPr>
        <w:t xml:space="preserve"> and the group </w:t>
      </w:r>
      <w:r w:rsidR="001E58E9">
        <w:rPr>
          <w:rStyle w:val="markedcontent"/>
        </w:rPr>
        <w:t xml:space="preserve">has </w:t>
      </w:r>
      <w:r w:rsidR="00654694">
        <w:rPr>
          <w:rStyle w:val="markedcontent"/>
        </w:rPr>
        <w:t xml:space="preserve">appeared to be frustrated as they are </w:t>
      </w:r>
      <w:r w:rsidR="000F1E9E">
        <w:rPr>
          <w:rStyle w:val="markedcontent"/>
        </w:rPr>
        <w:t xml:space="preserve">not </w:t>
      </w:r>
      <w:r w:rsidR="00F93FBA">
        <w:rPr>
          <w:rStyle w:val="markedcontent"/>
        </w:rPr>
        <w:t xml:space="preserve">timely </w:t>
      </w:r>
      <w:r w:rsidR="000F1E9E">
        <w:rPr>
          <w:rStyle w:val="markedcontent"/>
        </w:rPr>
        <w:t xml:space="preserve">receiving </w:t>
      </w:r>
      <w:r w:rsidR="00960E42">
        <w:rPr>
          <w:rStyle w:val="markedcontent"/>
        </w:rPr>
        <w:t xml:space="preserve">detailed </w:t>
      </w:r>
      <w:r w:rsidR="000F1E9E">
        <w:rPr>
          <w:rStyle w:val="markedcontent"/>
        </w:rPr>
        <w:t>materials</w:t>
      </w:r>
      <w:r w:rsidR="00960E42">
        <w:rPr>
          <w:rStyle w:val="markedcontent"/>
        </w:rPr>
        <w:t xml:space="preserve"> they need and request</w:t>
      </w:r>
      <w:r w:rsidR="00777408">
        <w:rPr>
          <w:rStyle w:val="markedcontent"/>
        </w:rPr>
        <w:t xml:space="preserve">. Most distressing, </w:t>
      </w:r>
      <w:r w:rsidR="00960E42">
        <w:rPr>
          <w:rStyle w:val="markedcontent"/>
        </w:rPr>
        <w:t xml:space="preserve">they seem </w:t>
      </w:r>
      <w:r w:rsidR="00F93FBA">
        <w:rPr>
          <w:rStyle w:val="markedcontent"/>
        </w:rPr>
        <w:t xml:space="preserve">not </w:t>
      </w:r>
      <w:r w:rsidR="00960E42">
        <w:rPr>
          <w:rStyle w:val="markedcontent"/>
        </w:rPr>
        <w:t xml:space="preserve">to be invited to </w:t>
      </w:r>
      <w:r w:rsidR="00654694">
        <w:rPr>
          <w:rStyle w:val="markedcontent"/>
        </w:rPr>
        <w:t xml:space="preserve">take part in significant and substantive </w:t>
      </w:r>
      <w:r w:rsidR="0084131D">
        <w:rPr>
          <w:rStyle w:val="markedcontent"/>
        </w:rPr>
        <w:t>discussion,</w:t>
      </w:r>
      <w:r w:rsidR="009E6B6E">
        <w:rPr>
          <w:rStyle w:val="markedcontent"/>
        </w:rPr>
        <w:t xml:space="preserve"> </w:t>
      </w:r>
      <w:r w:rsidR="00777408">
        <w:rPr>
          <w:rStyle w:val="markedcontent"/>
        </w:rPr>
        <w:t>yet</w:t>
      </w:r>
      <w:r w:rsidR="009E6B6E">
        <w:rPr>
          <w:rStyle w:val="markedcontent"/>
        </w:rPr>
        <w:t xml:space="preserve"> months of planning go on</w:t>
      </w:r>
      <w:r w:rsidR="00BE1F3C">
        <w:rPr>
          <w:rStyle w:val="markedcontent"/>
        </w:rPr>
        <w:t>.</w:t>
      </w:r>
      <w:r w:rsidR="00777408">
        <w:rPr>
          <w:rStyle w:val="markedcontent"/>
        </w:rPr>
        <w:t xml:space="preserve"> For example, there was no discussion of the public comments on the September</w:t>
      </w:r>
      <w:r w:rsidR="00B2494A">
        <w:rPr>
          <w:rStyle w:val="markedcontent"/>
        </w:rPr>
        <w:t xml:space="preserve"> </w:t>
      </w:r>
      <w:r w:rsidR="00777408">
        <w:rPr>
          <w:rStyle w:val="markedcontent"/>
        </w:rPr>
        <w:t xml:space="preserve">design report. Nor </w:t>
      </w:r>
      <w:r w:rsidR="00B2494A">
        <w:rPr>
          <w:rStyle w:val="markedcontent"/>
        </w:rPr>
        <w:t>h</w:t>
      </w:r>
      <w:r w:rsidR="00777408">
        <w:rPr>
          <w:rStyle w:val="markedcontent"/>
        </w:rPr>
        <w:t>as there been discussion of the drawings.</w:t>
      </w:r>
      <w:r w:rsidR="00B2494A">
        <w:rPr>
          <w:rStyle w:val="markedcontent"/>
        </w:rPr>
        <w:t xml:space="preserve"> And the planned UDC uses have not been clarified.</w:t>
      </w:r>
      <w:r w:rsidR="005B0559">
        <w:rPr>
          <w:rStyle w:val="FootnoteReference"/>
        </w:rPr>
        <w:footnoteReference w:id="2"/>
      </w:r>
      <w:r w:rsidR="000F1E9E">
        <w:rPr>
          <w:rStyle w:val="markedcontent"/>
        </w:rPr>
        <w:t xml:space="preserve"> </w:t>
      </w:r>
    </w:p>
    <w:p w14:paraId="67E0A5BA" w14:textId="77777777" w:rsidR="00BE1F3C" w:rsidRDefault="00BE1F3C" w:rsidP="00B150A6">
      <w:pPr>
        <w:pStyle w:val="ListParagraph"/>
        <w:spacing w:line="240" w:lineRule="auto"/>
        <w:ind w:left="0" w:firstLine="0"/>
        <w:rPr>
          <w:rStyle w:val="markedcontent"/>
        </w:rPr>
      </w:pPr>
    </w:p>
    <w:p w14:paraId="3F685156" w14:textId="1B2F298A" w:rsidR="000F1E9E" w:rsidRDefault="000F1E9E" w:rsidP="00B150A6">
      <w:pPr>
        <w:pStyle w:val="ListParagraph"/>
        <w:spacing w:line="240" w:lineRule="auto"/>
        <w:ind w:left="0" w:firstLine="0"/>
        <w:rPr>
          <w:rStyle w:val="markedcontent"/>
        </w:rPr>
      </w:pPr>
      <w:r>
        <w:rPr>
          <w:rStyle w:val="markedcontent"/>
        </w:rPr>
        <w:t xml:space="preserve">This is a loss </w:t>
      </w:r>
      <w:r w:rsidR="001E58E9">
        <w:rPr>
          <w:rStyle w:val="markedcontent"/>
        </w:rPr>
        <w:t xml:space="preserve">to the community, </w:t>
      </w:r>
      <w:r>
        <w:rPr>
          <w:rStyle w:val="markedcontent"/>
        </w:rPr>
        <w:t xml:space="preserve">as the Council appointed </w:t>
      </w:r>
      <w:r w:rsidR="00B2494A">
        <w:rPr>
          <w:rStyle w:val="markedcontent"/>
        </w:rPr>
        <w:t xml:space="preserve">to the Advisory Group </w:t>
      </w:r>
      <w:r>
        <w:rPr>
          <w:rStyle w:val="markedcontent"/>
        </w:rPr>
        <w:t xml:space="preserve">a solid </w:t>
      </w:r>
      <w:r w:rsidR="00B150A6">
        <w:rPr>
          <w:rStyle w:val="markedcontent"/>
        </w:rPr>
        <w:t>set of members</w:t>
      </w:r>
      <w:r>
        <w:rPr>
          <w:rStyle w:val="markedcontent"/>
        </w:rPr>
        <w:t xml:space="preserve"> with </w:t>
      </w:r>
      <w:r w:rsidR="001E58E9">
        <w:rPr>
          <w:rStyle w:val="markedcontent"/>
        </w:rPr>
        <w:t xml:space="preserve">highly relevant </w:t>
      </w:r>
      <w:r>
        <w:rPr>
          <w:rStyle w:val="markedcontent"/>
        </w:rPr>
        <w:t>expertise</w:t>
      </w:r>
      <w:r w:rsidR="00654694">
        <w:rPr>
          <w:rStyle w:val="markedcontent"/>
        </w:rPr>
        <w:t xml:space="preserve"> </w:t>
      </w:r>
      <w:r w:rsidR="00BE1F3C">
        <w:rPr>
          <w:rStyle w:val="markedcontent"/>
        </w:rPr>
        <w:t xml:space="preserve">(e.g., archives design and management, architecture, public history programming) </w:t>
      </w:r>
      <w:r w:rsidR="00654694">
        <w:rPr>
          <w:rStyle w:val="markedcontent"/>
        </w:rPr>
        <w:t xml:space="preserve">that could augment the </w:t>
      </w:r>
      <w:r w:rsidR="00F93FBA">
        <w:rPr>
          <w:rStyle w:val="markedcontent"/>
        </w:rPr>
        <w:t>minimal</w:t>
      </w:r>
      <w:r w:rsidR="00654694">
        <w:rPr>
          <w:rStyle w:val="markedcontent"/>
        </w:rPr>
        <w:t xml:space="preserve"> staff in the Public Records Office in Office of the Secretary (the official government “client” for the </w:t>
      </w:r>
      <w:r w:rsidR="00B150A6">
        <w:rPr>
          <w:rStyle w:val="markedcontent"/>
        </w:rPr>
        <w:t xml:space="preserve">complex building </w:t>
      </w:r>
      <w:r w:rsidR="00654694">
        <w:rPr>
          <w:rStyle w:val="markedcontent"/>
        </w:rPr>
        <w:t>project).</w:t>
      </w:r>
      <w:r>
        <w:rPr>
          <w:rStyle w:val="markedcontent"/>
        </w:rPr>
        <w:t xml:space="preserve">  </w:t>
      </w:r>
    </w:p>
    <w:p w14:paraId="07BEF4E2" w14:textId="77777777" w:rsidR="000F1E9E" w:rsidRDefault="000F1E9E" w:rsidP="000F1E9E">
      <w:pPr>
        <w:pStyle w:val="ListParagraph"/>
        <w:spacing w:line="240" w:lineRule="auto"/>
        <w:ind w:left="360" w:firstLine="0"/>
      </w:pPr>
    </w:p>
    <w:p w14:paraId="5B4D688C" w14:textId="4CF64282" w:rsidR="00960E42" w:rsidRDefault="00B150A6" w:rsidP="00B150A6">
      <w:pPr>
        <w:spacing w:line="240" w:lineRule="auto"/>
      </w:pPr>
      <w:r w:rsidRPr="00B150A6">
        <w:rPr>
          <w:b/>
          <w:bCs/>
          <w:u w:val="single"/>
        </w:rPr>
        <w:t xml:space="preserve">2. </w:t>
      </w:r>
      <w:r w:rsidR="00ED1D50">
        <w:rPr>
          <w:b/>
          <w:bCs/>
          <w:u w:val="single"/>
        </w:rPr>
        <w:t>Se</w:t>
      </w:r>
      <w:r w:rsidRPr="00B150A6">
        <w:rPr>
          <w:b/>
          <w:bCs/>
          <w:u w:val="single"/>
        </w:rPr>
        <w:t xml:space="preserve">rious </w:t>
      </w:r>
      <w:r w:rsidR="00BE1F3C">
        <w:rPr>
          <w:b/>
          <w:bCs/>
          <w:u w:val="single"/>
        </w:rPr>
        <w:t>attention</w:t>
      </w:r>
      <w:r w:rsidRPr="00B150A6">
        <w:rPr>
          <w:b/>
          <w:bCs/>
          <w:u w:val="single"/>
        </w:rPr>
        <w:t xml:space="preserve"> to the digital archive </w:t>
      </w:r>
      <w:r w:rsidR="00761904">
        <w:rPr>
          <w:b/>
          <w:bCs/>
          <w:u w:val="single"/>
        </w:rPr>
        <w:t>still missing</w:t>
      </w:r>
      <w:r>
        <w:t xml:space="preserve">. </w:t>
      </w:r>
      <w:r w:rsidR="000F1E9E">
        <w:t xml:space="preserve">The Committee also </w:t>
      </w:r>
      <w:r w:rsidR="004D0797" w:rsidRPr="004D0797">
        <w:t xml:space="preserve">“strongly” encouraged </w:t>
      </w:r>
      <w:r w:rsidR="00B1566A">
        <w:t xml:space="preserve">attention to digital archival material destined for the new facility. </w:t>
      </w:r>
      <w:r w:rsidR="001E58E9">
        <w:t xml:space="preserve">It </w:t>
      </w:r>
      <w:r w:rsidR="001E58E9" w:rsidRPr="004D0797">
        <w:t>reject</w:t>
      </w:r>
      <w:r w:rsidR="001E58E9">
        <w:t>ed</w:t>
      </w:r>
      <w:r w:rsidR="001E58E9" w:rsidRPr="004D0797">
        <w:t xml:space="preserve"> </w:t>
      </w:r>
      <w:r w:rsidR="001E58E9">
        <w:t xml:space="preserve">the </w:t>
      </w:r>
      <w:r w:rsidR="00B2494A">
        <w:t xml:space="preserve">DGS </w:t>
      </w:r>
      <w:r w:rsidR="001E58E9">
        <w:t>i</w:t>
      </w:r>
      <w:r w:rsidR="001E58E9" w:rsidRPr="004D0797">
        <w:t xml:space="preserve">nsistence “that they will not have a role in preparing digital archives.” The Committee </w:t>
      </w:r>
      <w:r w:rsidR="001E58E9">
        <w:t xml:space="preserve">wrote, </w:t>
      </w:r>
      <w:r w:rsidR="001E58E9" w:rsidRPr="004D0797">
        <w:t>“this response misses the point. Digital archival infrastructure and research activities will need a physical space designed to accommodate them</w:t>
      </w:r>
      <w:r w:rsidR="00F93FBA">
        <w:t>,</w:t>
      </w:r>
      <w:r w:rsidR="001E58E9" w:rsidRPr="004D0797">
        <w:t xml:space="preserve"> and DGS’s architect needs to be aware of these requirements.”</w:t>
      </w:r>
      <w:r w:rsidR="00386F73">
        <w:t xml:space="preserve"> </w:t>
      </w:r>
    </w:p>
    <w:p w14:paraId="6AEDFFE2" w14:textId="77777777" w:rsidR="00960E42" w:rsidRDefault="00960E42" w:rsidP="00B150A6">
      <w:pPr>
        <w:spacing w:line="240" w:lineRule="auto"/>
      </w:pPr>
    </w:p>
    <w:p w14:paraId="04CB4302" w14:textId="43B0A670" w:rsidR="00B1566A" w:rsidRDefault="00BE1F3C" w:rsidP="00B150A6">
      <w:pPr>
        <w:spacing w:line="240" w:lineRule="auto"/>
      </w:pPr>
      <w:r>
        <w:t xml:space="preserve">The Committee also </w:t>
      </w:r>
      <w:r w:rsidR="00B1566A">
        <w:t>encouraged the District’s Office of the Chief Technology Officer t</w:t>
      </w:r>
      <w:r w:rsidR="004D0797" w:rsidRPr="004D0797">
        <w:t>o “coordinate with O</w:t>
      </w:r>
      <w:r w:rsidR="00386F73">
        <w:t>ffice of the Secretary</w:t>
      </w:r>
      <w:r w:rsidR="004D0797" w:rsidRPr="004D0797">
        <w:t xml:space="preserve">, DGS, the interested public (including the Council-appointed Archives Advisory Group), and external contractors involved in Archives design and construction to ensure that the intake, preservation, and accessibility of digital archival materials are consistently considered and addressed in the design of the </w:t>
      </w:r>
      <w:r w:rsidR="00386F73">
        <w:t>n</w:t>
      </w:r>
      <w:r w:rsidR="004D0797" w:rsidRPr="004D0797">
        <w:t>ew facility.”</w:t>
      </w:r>
      <w:r w:rsidR="00960E42">
        <w:rPr>
          <w:rStyle w:val="FootnoteReference"/>
        </w:rPr>
        <w:footnoteReference w:id="3"/>
      </w:r>
    </w:p>
    <w:p w14:paraId="308B9857" w14:textId="22A35D78" w:rsidR="00386F73" w:rsidRDefault="00386F73" w:rsidP="00386F73">
      <w:pPr>
        <w:spacing w:line="240" w:lineRule="auto"/>
      </w:pPr>
    </w:p>
    <w:p w14:paraId="0FC620A1" w14:textId="04F198D4" w:rsidR="00386F73" w:rsidRDefault="00386F73" w:rsidP="00BE1F3C">
      <w:pPr>
        <w:spacing w:line="240" w:lineRule="auto"/>
        <w:ind w:left="0" w:firstLine="0"/>
      </w:pPr>
      <w:r>
        <w:t>Again, from what we can tell, specific attention to the digital archive has been limited</w:t>
      </w:r>
      <w:r w:rsidR="00960E42">
        <w:t xml:space="preserve">. The architects’ treatment in their initial report treatment </w:t>
      </w:r>
      <w:r w:rsidR="00B2494A">
        <w:t>was</w:t>
      </w:r>
      <w:r w:rsidR="00960E42">
        <w:t xml:space="preserve"> brief. And </w:t>
      </w:r>
      <w:r w:rsidR="00134EF5">
        <w:t xml:space="preserve">it appears </w:t>
      </w:r>
      <w:r>
        <w:t xml:space="preserve">both Archives Advisory Group and OCTO have been in no significant discussions with DGS, </w:t>
      </w:r>
      <w:r w:rsidR="00134EF5">
        <w:t>architects,</w:t>
      </w:r>
      <w:r>
        <w:t xml:space="preserve"> and public records officials</w:t>
      </w:r>
      <w:r w:rsidR="00654694">
        <w:t>.</w:t>
      </w:r>
      <w:r>
        <w:t xml:space="preserve"> </w:t>
      </w:r>
      <w:r w:rsidR="00654694">
        <w:t xml:space="preserve">We wrote </w:t>
      </w:r>
      <w:r w:rsidR="00B2494A">
        <w:t xml:space="preserve">our own concerns about digital records </w:t>
      </w:r>
      <w:r w:rsidR="00654694">
        <w:t>in our comments on the first planning report in September and never heard back from anyone.</w:t>
      </w:r>
      <w:r w:rsidR="00B2494A">
        <w:rPr>
          <w:rStyle w:val="FootnoteReference"/>
        </w:rPr>
        <w:footnoteReference w:id="4"/>
      </w:r>
    </w:p>
    <w:p w14:paraId="26D98DFB" w14:textId="77777777" w:rsidR="00386F73" w:rsidRDefault="00386F73" w:rsidP="00386F73">
      <w:pPr>
        <w:spacing w:line="240" w:lineRule="auto"/>
      </w:pPr>
    </w:p>
    <w:p w14:paraId="1861930A" w14:textId="49D212C5" w:rsidR="004D0797" w:rsidRPr="00BE1F3C" w:rsidRDefault="00BE1F3C" w:rsidP="00300302">
      <w:pPr>
        <w:spacing w:line="240" w:lineRule="auto"/>
        <w:ind w:left="14" w:hanging="14"/>
        <w:contextualSpacing/>
        <w:rPr>
          <w:b/>
          <w:bCs/>
          <w:u w:val="single"/>
        </w:rPr>
      </w:pPr>
      <w:r w:rsidRPr="00BE1F3C">
        <w:rPr>
          <w:b/>
          <w:bCs/>
          <w:u w:val="single"/>
        </w:rPr>
        <w:t xml:space="preserve">Agency </w:t>
      </w:r>
      <w:r w:rsidR="00761904">
        <w:rPr>
          <w:b/>
          <w:bCs/>
          <w:u w:val="single"/>
        </w:rPr>
        <w:t xml:space="preserve">pre-hearing answers </w:t>
      </w:r>
      <w:r w:rsidRPr="00BE1F3C">
        <w:rPr>
          <w:b/>
          <w:bCs/>
          <w:u w:val="single"/>
        </w:rPr>
        <w:t xml:space="preserve">are </w:t>
      </w:r>
      <w:r w:rsidR="0084131D" w:rsidRPr="00BE1F3C">
        <w:rPr>
          <w:b/>
          <w:bCs/>
          <w:u w:val="single"/>
        </w:rPr>
        <w:t>limited,</w:t>
      </w:r>
      <w:r>
        <w:rPr>
          <w:b/>
          <w:bCs/>
          <w:u w:val="single"/>
        </w:rPr>
        <w:t xml:space="preserve"> and the record should be </w:t>
      </w:r>
      <w:r w:rsidR="00134EF5">
        <w:rPr>
          <w:b/>
          <w:bCs/>
          <w:u w:val="single"/>
        </w:rPr>
        <w:t>augmented.</w:t>
      </w:r>
    </w:p>
    <w:p w14:paraId="689DF6EF" w14:textId="77777777" w:rsidR="004D0797" w:rsidRPr="00BE1F3C" w:rsidRDefault="004D0797" w:rsidP="00300302">
      <w:pPr>
        <w:spacing w:line="240" w:lineRule="auto"/>
        <w:ind w:left="14" w:hanging="14"/>
        <w:contextualSpacing/>
        <w:rPr>
          <w:b/>
          <w:bCs/>
          <w:u w:val="single"/>
        </w:rPr>
      </w:pPr>
    </w:p>
    <w:p w14:paraId="2BA42E15" w14:textId="77777777" w:rsidR="00761904" w:rsidRDefault="00E72553" w:rsidP="00E72553">
      <w:pPr>
        <w:pStyle w:val="ListParagraph"/>
        <w:numPr>
          <w:ilvl w:val="0"/>
          <w:numId w:val="9"/>
        </w:numPr>
        <w:tabs>
          <w:tab w:val="left" w:pos="270"/>
        </w:tabs>
        <w:spacing w:line="240" w:lineRule="auto"/>
        <w:ind w:left="270" w:hanging="270"/>
      </w:pPr>
      <w:r w:rsidRPr="00E72553">
        <w:rPr>
          <w:b/>
          <w:bCs/>
        </w:rPr>
        <w:t xml:space="preserve">Are upwardly revised cost figures formally incorporated in the contract </w:t>
      </w:r>
      <w:r>
        <w:rPr>
          <w:b/>
          <w:bCs/>
        </w:rPr>
        <w:t xml:space="preserve">or guidance </w:t>
      </w:r>
      <w:r w:rsidRPr="00E72553">
        <w:rPr>
          <w:b/>
          <w:bCs/>
        </w:rPr>
        <w:t>so architects know they should plan to that figure?</w:t>
      </w:r>
      <w:r>
        <w:t xml:space="preserve"> An outdated $73M cost figure, estimated </w:t>
      </w:r>
    </w:p>
    <w:p w14:paraId="1A58C14C" w14:textId="77777777" w:rsidR="00761904" w:rsidRDefault="00761904" w:rsidP="00761904">
      <w:pPr>
        <w:pStyle w:val="ListParagraph"/>
        <w:tabs>
          <w:tab w:val="left" w:pos="270"/>
        </w:tabs>
        <w:spacing w:line="240" w:lineRule="auto"/>
        <w:ind w:left="270" w:firstLine="0"/>
      </w:pPr>
    </w:p>
    <w:p w14:paraId="7BBF07E5" w14:textId="75CACAE9" w:rsidR="000424EB" w:rsidRPr="000424EB" w:rsidRDefault="00E72553" w:rsidP="0084131D">
      <w:pPr>
        <w:pStyle w:val="ListParagraph"/>
        <w:tabs>
          <w:tab w:val="left" w:pos="270"/>
        </w:tabs>
        <w:spacing w:line="240" w:lineRule="auto"/>
        <w:ind w:left="360" w:firstLine="0"/>
      </w:pPr>
      <w:r>
        <w:t>years ago, has been a source of confusion. Unfortunately</w:t>
      </w:r>
      <w:r w:rsidR="00F93FBA">
        <w:t>,</w:t>
      </w:r>
      <w:r>
        <w:t xml:space="preserve"> it remains. To Q. 107, the agency said only that “a tentative budget” is $103M while “approved funds” remain $73M. The unanswered question asked what figure the architects </w:t>
      </w:r>
      <w:r w:rsidR="000424EB">
        <w:t xml:space="preserve">are </w:t>
      </w:r>
      <w:r>
        <w:t xml:space="preserve">authorized to </w:t>
      </w:r>
      <w:r w:rsidR="000424EB">
        <w:t>work with. Nothing could be more important to clarify.</w:t>
      </w:r>
      <w:r>
        <w:t xml:space="preserve">  </w:t>
      </w:r>
    </w:p>
    <w:p w14:paraId="69D63351" w14:textId="77777777" w:rsidR="000424EB" w:rsidRPr="000424EB" w:rsidRDefault="000424EB" w:rsidP="000424EB">
      <w:pPr>
        <w:pStyle w:val="ListParagraph"/>
        <w:tabs>
          <w:tab w:val="left" w:pos="270"/>
        </w:tabs>
        <w:spacing w:line="240" w:lineRule="auto"/>
        <w:ind w:left="270" w:firstLine="0"/>
      </w:pPr>
    </w:p>
    <w:p w14:paraId="727DCA1F" w14:textId="5C4DD1E7" w:rsidR="00403F1F" w:rsidRDefault="00777408" w:rsidP="00777408">
      <w:pPr>
        <w:pStyle w:val="ListParagraph"/>
        <w:numPr>
          <w:ilvl w:val="0"/>
          <w:numId w:val="9"/>
        </w:numPr>
        <w:tabs>
          <w:tab w:val="left" w:pos="270"/>
        </w:tabs>
        <w:spacing w:line="240" w:lineRule="auto"/>
        <w:ind w:left="360"/>
      </w:pPr>
      <w:r>
        <w:rPr>
          <w:b/>
          <w:bCs/>
        </w:rPr>
        <w:t xml:space="preserve"> </w:t>
      </w:r>
      <w:r w:rsidR="000424EB" w:rsidRPr="007E66C5">
        <w:rPr>
          <w:b/>
          <w:bCs/>
        </w:rPr>
        <w:t>Public involvement in archives planning must be increased.</w:t>
      </w:r>
      <w:r w:rsidR="000424EB">
        <w:t xml:space="preserve"> </w:t>
      </w:r>
      <w:r w:rsidR="00761904">
        <w:t xml:space="preserve">We discussed above our observations of the limited consultations so far in planning. The question on that subject confirmed our view. </w:t>
      </w:r>
      <w:r w:rsidR="000424EB">
        <w:t>The DGS answer to Q. 109 begins with mis-identifying the key group as “</w:t>
      </w:r>
      <w:r w:rsidR="000424EB">
        <w:t>Archives of American Gardens</w:t>
      </w:r>
      <w:r w:rsidR="000424EB">
        <w:t xml:space="preserve">.” </w:t>
      </w:r>
      <w:r w:rsidR="00134EF5">
        <w:t>If “</w:t>
      </w:r>
      <w:r w:rsidR="00E2726A">
        <w:t>c</w:t>
      </w:r>
      <w:r w:rsidR="00E2726A">
        <w:t>orrespondence and project updates</w:t>
      </w:r>
      <w:r w:rsidR="00E2726A">
        <w:t>”</w:t>
      </w:r>
      <w:r w:rsidR="00E2726A">
        <w:t xml:space="preserve"> </w:t>
      </w:r>
      <w:r w:rsidR="000424EB">
        <w:t>have been sent to th</w:t>
      </w:r>
      <w:r w:rsidR="00E2726A">
        <w:t>at organization (part of the Smithsonian), t</w:t>
      </w:r>
      <w:r w:rsidR="000424EB">
        <w:t>hey may well be confused.</w:t>
      </w:r>
      <w:r w:rsidR="000424EB">
        <w:rPr>
          <w:rStyle w:val="FootnoteReference"/>
        </w:rPr>
        <w:footnoteReference w:id="5"/>
      </w:r>
      <w:r w:rsidR="00E2726A">
        <w:t xml:space="preserve">  The rest of the answer should be explored in the oversight hearing</w:t>
      </w:r>
      <w:r w:rsidR="00403F1F">
        <w:t xml:space="preserve"> as it does not </w:t>
      </w:r>
      <w:r w:rsidR="00134EF5">
        <w:t>appear to</w:t>
      </w:r>
      <w:r w:rsidR="00403F1F">
        <w:t xml:space="preserve"> anyone that there is any “consistent channel” that does what’s needed. </w:t>
      </w:r>
      <w:r w:rsidR="00BC3989">
        <w:t xml:space="preserve">The Archives Advisory Group, for example, has never received “correspondence” of any significance. </w:t>
      </w:r>
    </w:p>
    <w:p w14:paraId="05339147" w14:textId="77777777" w:rsidR="00403F1F" w:rsidRDefault="00403F1F" w:rsidP="00403F1F">
      <w:pPr>
        <w:pStyle w:val="ListParagraph"/>
        <w:tabs>
          <w:tab w:val="left" w:pos="270"/>
        </w:tabs>
        <w:spacing w:line="240" w:lineRule="auto"/>
        <w:ind w:left="14" w:firstLine="0"/>
      </w:pPr>
    </w:p>
    <w:p w14:paraId="7A75DA2E" w14:textId="6126F2E7" w:rsidR="00403F1F" w:rsidRDefault="00403F1F" w:rsidP="00761904">
      <w:pPr>
        <w:pStyle w:val="ListParagraph"/>
        <w:tabs>
          <w:tab w:val="left" w:pos="360"/>
        </w:tabs>
        <w:spacing w:line="240" w:lineRule="auto"/>
        <w:ind w:left="360" w:firstLine="0"/>
      </w:pPr>
      <w:r>
        <w:t>T</w:t>
      </w:r>
      <w:r w:rsidR="00E2726A">
        <w:t xml:space="preserve">estimony at </w:t>
      </w:r>
      <w:r w:rsidR="00382A89">
        <w:t xml:space="preserve">the recent </w:t>
      </w:r>
      <w:r w:rsidR="00E2726A">
        <w:t xml:space="preserve">oversight hearing for Office of Public Records </w:t>
      </w:r>
      <w:r w:rsidR="00761904">
        <w:t xml:space="preserve">also confirmed </w:t>
      </w:r>
      <w:r w:rsidR="00E2726A">
        <w:t>no one is satisfied with the public consultation</w:t>
      </w:r>
      <w:r w:rsidR="00761904">
        <w:t xml:space="preserve"> on the archives design project</w:t>
      </w:r>
      <w:r w:rsidR="00E2726A">
        <w:t>.</w:t>
      </w:r>
      <w:r w:rsidR="00382A89">
        <w:rPr>
          <w:rStyle w:val="FootnoteReference"/>
        </w:rPr>
        <w:footnoteReference w:id="6"/>
      </w:r>
      <w:r w:rsidR="00E2726A">
        <w:t xml:space="preserve"> </w:t>
      </w:r>
      <w:r w:rsidR="007E66C5">
        <w:t xml:space="preserve">Public witnesses there </w:t>
      </w:r>
      <w:r w:rsidR="00BC3989">
        <w:t>noted t</w:t>
      </w:r>
      <w:r w:rsidR="007E66C5">
        <w:t xml:space="preserve">hat </w:t>
      </w:r>
      <w:r w:rsidR="00BC3989">
        <w:t xml:space="preserve">it would be a best practice for DGS to direct </w:t>
      </w:r>
      <w:r w:rsidR="007E66C5">
        <w:t xml:space="preserve">the architects to hold one </w:t>
      </w:r>
      <w:r w:rsidR="00BC3989">
        <w:t xml:space="preserve">or more </w:t>
      </w:r>
      <w:r w:rsidR="007E66C5">
        <w:t>charette</w:t>
      </w:r>
      <w:r w:rsidR="00BC3989">
        <w:t>s</w:t>
      </w:r>
      <w:r>
        <w:t xml:space="preserve"> at which D</w:t>
      </w:r>
      <w:r w:rsidR="00BC3989">
        <w:t>.</w:t>
      </w:r>
      <w:r>
        <w:t>C</w:t>
      </w:r>
      <w:r w:rsidR="00BC3989">
        <w:t>.</w:t>
      </w:r>
      <w:r>
        <w:t xml:space="preserve"> officials would commit to collaborative work to reach the best design possible.</w:t>
      </w:r>
      <w:r>
        <w:rPr>
          <w:rStyle w:val="FootnoteReference"/>
        </w:rPr>
        <w:footnoteReference w:id="7"/>
      </w:r>
    </w:p>
    <w:p w14:paraId="32C1CBEF" w14:textId="77777777" w:rsidR="00403F1F" w:rsidRDefault="00403F1F" w:rsidP="00403F1F">
      <w:pPr>
        <w:pStyle w:val="ListParagraph"/>
        <w:tabs>
          <w:tab w:val="left" w:pos="270"/>
        </w:tabs>
        <w:spacing w:line="240" w:lineRule="auto"/>
        <w:ind w:left="14" w:firstLine="0"/>
      </w:pPr>
    </w:p>
    <w:p w14:paraId="28F3D758" w14:textId="0DFEC5E9" w:rsidR="006B4761" w:rsidRDefault="00403F1F" w:rsidP="006B4761">
      <w:pPr>
        <w:pStyle w:val="ListParagraph"/>
        <w:numPr>
          <w:ilvl w:val="0"/>
          <w:numId w:val="9"/>
        </w:numPr>
        <w:spacing w:line="240" w:lineRule="auto"/>
        <w:ind w:left="360"/>
      </w:pPr>
      <w:r w:rsidRPr="006B4761">
        <w:rPr>
          <w:b/>
          <w:bCs/>
        </w:rPr>
        <w:t xml:space="preserve">Expert help with digital archiving </w:t>
      </w:r>
      <w:r w:rsidR="00B51CB4" w:rsidRPr="006B4761">
        <w:rPr>
          <w:b/>
          <w:bCs/>
        </w:rPr>
        <w:t xml:space="preserve">plans </w:t>
      </w:r>
      <w:r w:rsidRPr="006B4761">
        <w:rPr>
          <w:b/>
          <w:bCs/>
        </w:rPr>
        <w:t xml:space="preserve">is again mischaracterized and dismissed by </w:t>
      </w:r>
      <w:r w:rsidR="00BC3989">
        <w:rPr>
          <w:b/>
          <w:bCs/>
        </w:rPr>
        <w:t xml:space="preserve">the </w:t>
      </w:r>
      <w:r w:rsidRPr="006B4761">
        <w:rPr>
          <w:b/>
          <w:bCs/>
        </w:rPr>
        <w:t xml:space="preserve">DGS response and must be corrected. </w:t>
      </w:r>
      <w:r w:rsidR="00B51CB4">
        <w:t xml:space="preserve">The DGS answer to Q. 110 </w:t>
      </w:r>
      <w:r w:rsidR="006B4761">
        <w:t xml:space="preserve">on working with OCTO </w:t>
      </w:r>
      <w:r w:rsidR="00B51CB4">
        <w:t>says that</w:t>
      </w:r>
      <w:r w:rsidR="00B51CB4" w:rsidRPr="00B51CB4">
        <w:t xml:space="preserve"> </w:t>
      </w:r>
      <w:r w:rsidR="00B51CB4">
        <w:t>the “</w:t>
      </w:r>
      <w:r w:rsidR="00B51CB4">
        <w:t>client agency the Office of the Secretary/Office of the Senior Advisor will be working in coordination with the National Archives to perform digital archiving services</w:t>
      </w:r>
      <w:r w:rsidR="00B51CB4">
        <w:t>.” We have never heard of a role for the National Archives (a federal agency) in the new D.C. archives building project, especially “</w:t>
      </w:r>
      <w:r w:rsidR="00BC3989">
        <w:t xml:space="preserve">digital </w:t>
      </w:r>
      <w:r w:rsidR="00B51CB4">
        <w:t xml:space="preserve">archiving services.” (On the contrary, one hopes for </w:t>
      </w:r>
      <w:r w:rsidR="00B51CB4" w:rsidRPr="00134EF5">
        <w:rPr>
          <w:u w:val="single"/>
        </w:rPr>
        <w:t>fewer</w:t>
      </w:r>
      <w:r w:rsidR="00B51CB4">
        <w:t xml:space="preserve"> records in federal storage, with return of D.C. records held there while our facilities were inadequate.) </w:t>
      </w:r>
      <w:r w:rsidR="00134EF5">
        <w:t>So,</w:t>
      </w:r>
      <w:r w:rsidR="00B51CB4">
        <w:t xml:space="preserve"> this was a surprise and should be clarified</w:t>
      </w:r>
      <w:r w:rsidR="00BC3989">
        <w:t xml:space="preserve"> that D.C. must do its own work to get this right</w:t>
      </w:r>
      <w:r w:rsidR="00B51CB4">
        <w:t xml:space="preserve">. </w:t>
      </w:r>
    </w:p>
    <w:p w14:paraId="634BF73A" w14:textId="77777777" w:rsidR="006B4761" w:rsidRDefault="006B4761" w:rsidP="006B4761">
      <w:pPr>
        <w:pStyle w:val="ListParagraph"/>
        <w:spacing w:line="240" w:lineRule="auto"/>
        <w:ind w:left="360" w:firstLine="0"/>
      </w:pPr>
    </w:p>
    <w:p w14:paraId="6226A2A9" w14:textId="02797F98" w:rsidR="009E6B6E" w:rsidRDefault="00B51CB4" w:rsidP="00CC552D">
      <w:pPr>
        <w:pStyle w:val="ListParagraph"/>
        <w:spacing w:line="240" w:lineRule="auto"/>
        <w:ind w:left="360" w:firstLine="0"/>
      </w:pPr>
      <w:r>
        <w:t xml:space="preserve">This answer concludes with </w:t>
      </w:r>
      <w:r w:rsidR="009E6B6E">
        <w:t xml:space="preserve">another </w:t>
      </w:r>
      <w:r>
        <w:t xml:space="preserve">narrow statement of mission </w:t>
      </w:r>
      <w:r w:rsidR="009E6B6E">
        <w:t>of the type t</w:t>
      </w:r>
      <w:r>
        <w:t>hat the Council committee warned against last year</w:t>
      </w:r>
      <w:r w:rsidR="009E6B6E">
        <w:t xml:space="preserve"> when DGS said it wouldn’t be “preparing” digital materials. This year, the agency says</w:t>
      </w:r>
      <w:r>
        <w:t xml:space="preserve"> “</w:t>
      </w:r>
      <w:r w:rsidR="00E72553">
        <w:t>DGS’s scope for this project is design and construction of the new building.</w:t>
      </w:r>
      <w:r>
        <w:t xml:space="preserve">” </w:t>
      </w:r>
      <w:r w:rsidR="00134EF5">
        <w:t xml:space="preserve">True, but </w:t>
      </w:r>
      <w:r w:rsidR="009E6B6E">
        <w:t xml:space="preserve">we </w:t>
      </w:r>
      <w:r w:rsidR="00BC3989">
        <w:t>quote again</w:t>
      </w:r>
      <w:r w:rsidR="009E6B6E">
        <w:t xml:space="preserve"> from </w:t>
      </w:r>
      <w:r w:rsidR="006B4761">
        <w:t>the FY23 Budget Report, “</w:t>
      </w:r>
      <w:r w:rsidR="006B4761" w:rsidRPr="004D0797">
        <w:t>this response misses the point.</w:t>
      </w:r>
      <w:r w:rsidR="00134EF5">
        <w:t>”</w:t>
      </w:r>
      <w:r w:rsidR="006B4761" w:rsidRPr="004D0797">
        <w:t> </w:t>
      </w:r>
    </w:p>
    <w:p w14:paraId="1A00F2E6" w14:textId="77777777" w:rsidR="009E6B6E" w:rsidRDefault="009E6B6E" w:rsidP="006B4761">
      <w:pPr>
        <w:pStyle w:val="ListParagraph"/>
        <w:spacing w:line="240" w:lineRule="auto"/>
        <w:ind w:left="360" w:firstLine="0"/>
      </w:pPr>
    </w:p>
    <w:p w14:paraId="1C6B2883" w14:textId="77777777" w:rsidR="00BC3989" w:rsidRDefault="00BC3989" w:rsidP="00134EF5">
      <w:pPr>
        <w:pStyle w:val="ListParagraph"/>
        <w:spacing w:line="240" w:lineRule="auto"/>
        <w:ind w:left="360" w:firstLine="0"/>
      </w:pPr>
    </w:p>
    <w:p w14:paraId="02E8DA3B" w14:textId="7283D218" w:rsidR="006B4761" w:rsidRDefault="00134EF5" w:rsidP="0084131D">
      <w:pPr>
        <w:pStyle w:val="ListParagraph"/>
        <w:spacing w:line="240" w:lineRule="auto"/>
        <w:ind w:left="360" w:firstLine="0"/>
      </w:pPr>
      <w:r>
        <w:t>The Committee explained, “</w:t>
      </w:r>
      <w:r w:rsidR="006B4761" w:rsidRPr="004D0797">
        <w:t>Digital archival infrastructure and research activities will need a physical space designed to accommodate them and DGS’s architect needs to be aware of these requirements.”</w:t>
      </w:r>
      <w:r w:rsidR="006B4761">
        <w:t xml:space="preserve"> </w:t>
      </w:r>
      <w:r w:rsidR="00F93FBA">
        <w:t xml:space="preserve">The committee should explore how DGS will assure that </w:t>
      </w:r>
      <w:r w:rsidR="0084131D">
        <w:t xml:space="preserve">relevant </w:t>
      </w:r>
      <w:r w:rsidR="00F93FBA">
        <w:t xml:space="preserve">expertise is involved in the design stage so that present and future digital records </w:t>
      </w:r>
      <w:r w:rsidR="000A2CD4">
        <w:t>will be</w:t>
      </w:r>
      <w:r w:rsidR="00F93FBA">
        <w:t xml:space="preserve"> properly </w:t>
      </w:r>
      <w:r>
        <w:t xml:space="preserve">archived. </w:t>
      </w:r>
    </w:p>
    <w:p w14:paraId="493F2A26" w14:textId="77777777" w:rsidR="00134EF5" w:rsidRDefault="00134EF5" w:rsidP="0084131D">
      <w:pPr>
        <w:pStyle w:val="ListParagraph"/>
        <w:spacing w:line="240" w:lineRule="auto"/>
        <w:ind w:left="360" w:firstLine="0"/>
      </w:pPr>
    </w:p>
    <w:p w14:paraId="50A1C5DC" w14:textId="0CBEA52D" w:rsidR="0084131D" w:rsidRPr="0084131D" w:rsidRDefault="0084131D" w:rsidP="0084131D">
      <w:pPr>
        <w:spacing w:line="240" w:lineRule="auto"/>
        <w:contextualSpacing/>
        <w:rPr>
          <w:b/>
          <w:bCs/>
          <w:u w:val="single"/>
        </w:rPr>
      </w:pPr>
      <w:r w:rsidRPr="0084131D">
        <w:rPr>
          <w:b/>
          <w:bCs/>
          <w:u w:val="single"/>
        </w:rPr>
        <w:t xml:space="preserve">Conclusion: Council guidance is </w:t>
      </w:r>
      <w:r w:rsidR="00D36328" w:rsidRPr="0084131D">
        <w:rPr>
          <w:b/>
          <w:bCs/>
          <w:u w:val="single"/>
        </w:rPr>
        <w:t>essential,</w:t>
      </w:r>
      <w:r w:rsidRPr="0084131D">
        <w:rPr>
          <w:b/>
          <w:bCs/>
          <w:u w:val="single"/>
        </w:rPr>
        <w:t xml:space="preserve"> so archives planning includes </w:t>
      </w:r>
      <w:r>
        <w:rPr>
          <w:b/>
          <w:bCs/>
          <w:u w:val="single"/>
        </w:rPr>
        <w:t xml:space="preserve">expanded </w:t>
      </w:r>
      <w:r w:rsidRPr="0084131D">
        <w:rPr>
          <w:b/>
          <w:bCs/>
          <w:u w:val="single"/>
        </w:rPr>
        <w:t>user</w:t>
      </w:r>
      <w:r>
        <w:rPr>
          <w:b/>
          <w:bCs/>
          <w:u w:val="single"/>
        </w:rPr>
        <w:t xml:space="preserve"> and community expert</w:t>
      </w:r>
      <w:r w:rsidRPr="0084131D">
        <w:rPr>
          <w:b/>
          <w:bCs/>
          <w:u w:val="single"/>
        </w:rPr>
        <w:t xml:space="preserve"> involvement</w:t>
      </w:r>
      <w:r w:rsidR="00D36328">
        <w:rPr>
          <w:b/>
          <w:bCs/>
          <w:u w:val="single"/>
        </w:rPr>
        <w:t xml:space="preserve"> now</w:t>
      </w:r>
      <w:r>
        <w:rPr>
          <w:b/>
          <w:bCs/>
          <w:u w:val="single"/>
        </w:rPr>
        <w:t>.</w:t>
      </w:r>
    </w:p>
    <w:p w14:paraId="013839C8" w14:textId="77777777" w:rsidR="0084131D" w:rsidRDefault="0084131D" w:rsidP="0084131D">
      <w:pPr>
        <w:spacing w:line="240" w:lineRule="auto"/>
        <w:contextualSpacing/>
      </w:pPr>
    </w:p>
    <w:p w14:paraId="6B472899" w14:textId="57CA5598" w:rsidR="00BC3989" w:rsidRDefault="00BC3989" w:rsidP="0084131D">
      <w:pPr>
        <w:spacing w:line="240" w:lineRule="auto"/>
        <w:contextualSpacing/>
      </w:pPr>
      <w:r>
        <w:t xml:space="preserve">We look forward to Council direction </w:t>
      </w:r>
      <w:r w:rsidR="0084131D">
        <w:t xml:space="preserve">to DGS </w:t>
      </w:r>
      <w:r w:rsidR="00D36328">
        <w:t>(perhaps jointly between this committee and the Committee on Executive Administration and Labor, with jurisdiction over public records) t</w:t>
      </w:r>
      <w:r>
        <w:t xml:space="preserve">hat expanded consultations </w:t>
      </w:r>
      <w:r w:rsidR="0084131D">
        <w:t>in the very near future are needed</w:t>
      </w:r>
      <w:r w:rsidR="00D36328">
        <w:t xml:space="preserve">. A common suggestion seems to be that there be </w:t>
      </w:r>
      <w:r>
        <w:t xml:space="preserve">several serious sessions with architects, agency staff, outside experts and the user public </w:t>
      </w:r>
      <w:r w:rsidR="00D36328">
        <w:t xml:space="preserve">-- </w:t>
      </w:r>
      <w:r>
        <w:t>before any more details are locked in by DGS</w:t>
      </w:r>
      <w:r w:rsidR="0084131D">
        <w:t>’ architects’</w:t>
      </w:r>
      <w:r>
        <w:t xml:space="preserve"> submissions to review bodies</w:t>
      </w:r>
      <w:r w:rsidR="00D36328">
        <w:t xml:space="preserve"> with apparent executive approval</w:t>
      </w:r>
      <w:r>
        <w:t xml:space="preserve">. </w:t>
      </w:r>
      <w:r w:rsidR="00D36328">
        <w:t>Planning so far has not earned the community stamp of approval.</w:t>
      </w:r>
    </w:p>
    <w:p w14:paraId="673138BF" w14:textId="77777777" w:rsidR="00BC3989" w:rsidRDefault="00BC3989" w:rsidP="0084131D">
      <w:pPr>
        <w:spacing w:line="240" w:lineRule="auto"/>
        <w:contextualSpacing/>
      </w:pPr>
    </w:p>
    <w:p w14:paraId="2437F6EA" w14:textId="77777777" w:rsidR="0084131D" w:rsidRDefault="0084131D" w:rsidP="0084131D">
      <w:pPr>
        <w:spacing w:line="240" w:lineRule="auto"/>
        <w:contextualSpacing/>
      </w:pPr>
    </w:p>
    <w:p w14:paraId="5F058ADC" w14:textId="77777777" w:rsidR="0084131D" w:rsidRDefault="0084131D" w:rsidP="0084131D">
      <w:pPr>
        <w:spacing w:line="240" w:lineRule="auto"/>
        <w:contextualSpacing/>
      </w:pPr>
    </w:p>
    <w:p w14:paraId="74DBBA49" w14:textId="77777777" w:rsidR="0084131D" w:rsidRDefault="0084131D" w:rsidP="0084131D">
      <w:pPr>
        <w:spacing w:line="240" w:lineRule="auto"/>
        <w:contextualSpacing/>
      </w:pPr>
    </w:p>
    <w:p w14:paraId="4003FCF0" w14:textId="77777777" w:rsidR="0084131D" w:rsidRDefault="0084131D" w:rsidP="0084131D">
      <w:pPr>
        <w:spacing w:line="240" w:lineRule="auto"/>
        <w:contextualSpacing/>
      </w:pPr>
    </w:p>
    <w:p w14:paraId="702B27AC" w14:textId="77777777" w:rsidR="0084131D" w:rsidRDefault="0084131D" w:rsidP="0084131D">
      <w:pPr>
        <w:spacing w:line="240" w:lineRule="auto"/>
        <w:contextualSpacing/>
      </w:pPr>
    </w:p>
    <w:p w14:paraId="4008C1CA" w14:textId="77777777" w:rsidR="0084131D" w:rsidRDefault="0084131D" w:rsidP="0084131D">
      <w:pPr>
        <w:spacing w:line="240" w:lineRule="auto"/>
        <w:contextualSpacing/>
      </w:pPr>
    </w:p>
    <w:p w14:paraId="1B435911" w14:textId="77777777" w:rsidR="0084131D" w:rsidRDefault="0084131D" w:rsidP="0084131D">
      <w:pPr>
        <w:spacing w:line="240" w:lineRule="auto"/>
        <w:contextualSpacing/>
      </w:pPr>
    </w:p>
    <w:p w14:paraId="39BC868F" w14:textId="77777777" w:rsidR="0084131D" w:rsidRDefault="0084131D" w:rsidP="0084131D">
      <w:pPr>
        <w:spacing w:line="240" w:lineRule="auto"/>
        <w:contextualSpacing/>
      </w:pPr>
    </w:p>
    <w:p w14:paraId="0816F1DA" w14:textId="77777777" w:rsidR="0084131D" w:rsidRDefault="0084131D" w:rsidP="0084131D">
      <w:pPr>
        <w:spacing w:line="240" w:lineRule="auto"/>
        <w:contextualSpacing/>
      </w:pPr>
    </w:p>
    <w:p w14:paraId="4D808E6F" w14:textId="77777777" w:rsidR="0084131D" w:rsidRDefault="0084131D" w:rsidP="0084131D">
      <w:pPr>
        <w:spacing w:line="240" w:lineRule="auto"/>
        <w:contextualSpacing/>
      </w:pPr>
    </w:p>
    <w:p w14:paraId="0BD99135" w14:textId="77777777" w:rsidR="0084131D" w:rsidRDefault="0084131D" w:rsidP="0084131D">
      <w:pPr>
        <w:spacing w:line="240" w:lineRule="auto"/>
        <w:contextualSpacing/>
      </w:pPr>
    </w:p>
    <w:p w14:paraId="1E8A087D" w14:textId="77777777" w:rsidR="0084131D" w:rsidRDefault="0084131D" w:rsidP="0084131D">
      <w:pPr>
        <w:spacing w:line="240" w:lineRule="auto"/>
        <w:contextualSpacing/>
      </w:pPr>
    </w:p>
    <w:p w14:paraId="38092618" w14:textId="77777777" w:rsidR="0084131D" w:rsidRDefault="0084131D" w:rsidP="00AB2C87">
      <w:pPr>
        <w:spacing w:line="240" w:lineRule="auto"/>
        <w:ind w:left="0" w:firstLine="0"/>
        <w:contextualSpacing/>
      </w:pPr>
    </w:p>
    <w:p w14:paraId="77538D03" w14:textId="77777777" w:rsidR="0084131D" w:rsidRDefault="0084131D" w:rsidP="0084131D">
      <w:pPr>
        <w:spacing w:line="240" w:lineRule="auto"/>
        <w:contextualSpacing/>
      </w:pPr>
    </w:p>
    <w:p w14:paraId="7EFC3F5E" w14:textId="77777777" w:rsidR="0084131D" w:rsidRDefault="0084131D" w:rsidP="0084131D">
      <w:pPr>
        <w:spacing w:line="240" w:lineRule="auto"/>
        <w:contextualSpacing/>
      </w:pPr>
    </w:p>
    <w:p w14:paraId="160B83B0" w14:textId="5B55A087" w:rsidR="00BC3989" w:rsidRDefault="002C36B9" w:rsidP="0084131D">
      <w:pPr>
        <w:spacing w:line="240" w:lineRule="auto"/>
        <w:contextualSpacing/>
      </w:pPr>
      <w:r w:rsidRPr="002C36B9">
        <w:t xml:space="preserve">For any questions, reach me at: </w:t>
      </w:r>
      <w:hyperlink r:id="rId11" w:history="1">
        <w:r w:rsidRPr="002C36B9">
          <w:rPr>
            <w:rStyle w:val="Hyperlink"/>
          </w:rPr>
          <w:t>fmulhauser@aol.com</w:t>
        </w:r>
      </w:hyperlink>
      <w:r w:rsidRPr="002C36B9">
        <w:t xml:space="preserve"> or 202-550-4131</w:t>
      </w:r>
    </w:p>
    <w:p w14:paraId="24EC2B15" w14:textId="77777777" w:rsidR="00BC3989" w:rsidRDefault="00BC3989" w:rsidP="006B4761">
      <w:pPr>
        <w:pBdr>
          <w:bottom w:val="single" w:sz="12" w:space="1" w:color="auto"/>
        </w:pBdr>
        <w:ind w:left="0" w:firstLine="0"/>
      </w:pPr>
    </w:p>
    <w:p w14:paraId="7072F7D1" w14:textId="77777777" w:rsidR="00380BC5" w:rsidRDefault="00380BC5" w:rsidP="007D07F5">
      <w:pPr>
        <w:spacing w:line="240" w:lineRule="auto"/>
        <w:ind w:left="14" w:hanging="14"/>
        <w:rPr>
          <w:sz w:val="22"/>
          <w:szCs w:val="22"/>
        </w:rPr>
      </w:pPr>
    </w:p>
    <w:p w14:paraId="39D92899" w14:textId="2B978FC3" w:rsidR="002C36B9" w:rsidRPr="002C36B9" w:rsidRDefault="002C36B9" w:rsidP="007D07F5">
      <w:pPr>
        <w:spacing w:line="240" w:lineRule="auto"/>
        <w:ind w:left="14" w:hanging="14"/>
        <w:rPr>
          <w:sz w:val="22"/>
          <w:szCs w:val="22"/>
        </w:rPr>
      </w:pPr>
      <w:r w:rsidRPr="002C36B9">
        <w:rPr>
          <w:sz w:val="22"/>
          <w:szCs w:val="22"/>
        </w:rPr>
        <w:t xml:space="preserve">The Open Government Coalition is a citizens’ group established in 2009 to enhance public access to government information and ensure the transparency of D.C. government operations. Transparency promotes civic engagement and is critical to responsive and accountable government. We strive to improve the processes by which the public gains access to government records (including data) and proceedings and to educate the public and government officials about the principles and benefits of open government in a democratic society. </w:t>
      </w:r>
    </w:p>
    <w:p w14:paraId="5AF73858" w14:textId="77777777" w:rsidR="002C36B9" w:rsidRPr="002C36B9" w:rsidRDefault="002C36B9" w:rsidP="002C36B9"/>
    <w:p w14:paraId="2653ED24" w14:textId="7C769E88" w:rsidR="002C36B9" w:rsidRPr="00E16471" w:rsidRDefault="002C36B9" w:rsidP="00E16471">
      <w:pPr>
        <w:spacing w:line="240" w:lineRule="auto"/>
        <w:ind w:left="14" w:hanging="14"/>
        <w:rPr>
          <w:sz w:val="22"/>
          <w:szCs w:val="22"/>
        </w:rPr>
      </w:pPr>
      <w:r w:rsidRPr="002C36B9">
        <w:rPr>
          <w:sz w:val="22"/>
          <w:szCs w:val="22"/>
        </w:rPr>
        <w:t>We work to maintain the legal foundation assuring open government –- the Open Meetings Act, the Freedom of Information Act, and the mayor’s Open Data Policy — through public education, legislative advocacy, and litigation. For example, the Coalition has an extensive website with practical advice for finding information and a blog on D.C. open government news, holds public forums such as an annual Summit during Sunshine Week in March, testifies to the D.C. Council, and files complaints and court actions to correct agency problems. The Coalition has no staff but does its work through the volunteer efforts of 13 directors, who include reporters, community activists, experts with open government institutions overseas and at the federal level, and attorneys in media law, nonprofit legal services, and criminal defense. The Coalition participates in a National Freedom of Information Coalition where advocates from dozens of states work together on common issues all are</w:t>
      </w:r>
      <w:r w:rsidR="0084131D">
        <w:rPr>
          <w:sz w:val="22"/>
          <w:szCs w:val="22"/>
        </w:rPr>
        <w:t xml:space="preserve"> facing.</w:t>
      </w:r>
    </w:p>
    <w:sectPr w:rsidR="002C36B9" w:rsidRPr="00E16471" w:rsidSect="00300302">
      <w:footerReference w:type="even" r:id="rId12"/>
      <w:footerReference w:type="default" r:id="rId13"/>
      <w:pgSz w:w="12240" w:h="15840"/>
      <w:pgMar w:top="639" w:right="1260" w:bottom="1269" w:left="12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8052B" w14:textId="77777777" w:rsidR="007848A4" w:rsidRDefault="007848A4" w:rsidP="002C36B9">
      <w:pPr>
        <w:spacing w:after="0" w:line="240" w:lineRule="auto"/>
      </w:pPr>
      <w:r>
        <w:separator/>
      </w:r>
    </w:p>
  </w:endnote>
  <w:endnote w:type="continuationSeparator" w:id="0">
    <w:p w14:paraId="688FC33E" w14:textId="77777777" w:rsidR="007848A4" w:rsidRDefault="007848A4" w:rsidP="002C3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0542508"/>
      <w:docPartObj>
        <w:docPartGallery w:val="Page Numbers (Bottom of Page)"/>
        <w:docPartUnique/>
      </w:docPartObj>
    </w:sdtPr>
    <w:sdtContent>
      <w:p w14:paraId="220611F8" w14:textId="45D99821" w:rsidR="002C36B9" w:rsidRDefault="002C36B9" w:rsidP="00262D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26EAAF" w14:textId="77777777" w:rsidR="002C36B9" w:rsidRDefault="002C3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4699461"/>
      <w:docPartObj>
        <w:docPartGallery w:val="Page Numbers (Bottom of Page)"/>
        <w:docPartUnique/>
      </w:docPartObj>
    </w:sdtPr>
    <w:sdtContent>
      <w:p w14:paraId="5BFB63C7" w14:textId="216DBA61" w:rsidR="002C36B9" w:rsidRDefault="002C36B9" w:rsidP="00262D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67E64F" w14:textId="77777777" w:rsidR="002C36B9" w:rsidRDefault="002C3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15A39" w14:textId="77777777" w:rsidR="007848A4" w:rsidRDefault="007848A4" w:rsidP="002C36B9">
      <w:pPr>
        <w:spacing w:after="0" w:line="240" w:lineRule="auto"/>
      </w:pPr>
      <w:r>
        <w:separator/>
      </w:r>
    </w:p>
  </w:footnote>
  <w:footnote w:type="continuationSeparator" w:id="0">
    <w:p w14:paraId="46AEE7AB" w14:textId="77777777" w:rsidR="007848A4" w:rsidRDefault="007848A4" w:rsidP="002C36B9">
      <w:pPr>
        <w:spacing w:after="0" w:line="240" w:lineRule="auto"/>
      </w:pPr>
      <w:r>
        <w:continuationSeparator/>
      </w:r>
    </w:p>
  </w:footnote>
  <w:footnote w:id="1">
    <w:p w14:paraId="529F57A2" w14:textId="2CC7F234" w:rsidR="00B1566A" w:rsidRDefault="00B1566A">
      <w:pPr>
        <w:pStyle w:val="FootnoteText"/>
      </w:pPr>
      <w:r>
        <w:rPr>
          <w:rStyle w:val="FootnoteReference"/>
        </w:rPr>
        <w:footnoteRef/>
      </w:r>
      <w:r>
        <w:t xml:space="preserve"> </w:t>
      </w:r>
      <w:r w:rsidR="00B150A6" w:rsidRPr="00B150A6">
        <w:rPr>
          <w:rStyle w:val="markedcontent"/>
          <w:i/>
          <w:iCs/>
        </w:rPr>
        <w:t>Report and Recommendations of the Committee on Government Operations and</w:t>
      </w:r>
      <w:r w:rsidR="00B150A6">
        <w:rPr>
          <w:rStyle w:val="markedcontent"/>
          <w:i/>
          <w:iCs/>
        </w:rPr>
        <w:t xml:space="preserve"> </w:t>
      </w:r>
      <w:r w:rsidR="00B150A6" w:rsidRPr="00B150A6">
        <w:rPr>
          <w:rStyle w:val="markedcontent"/>
          <w:i/>
          <w:iCs/>
        </w:rPr>
        <w:t>Facilities on the Fiscal Year 2023 Budget</w:t>
      </w:r>
      <w:r w:rsidR="00B150A6">
        <w:rPr>
          <w:rStyle w:val="markedcontent"/>
        </w:rPr>
        <w:t xml:space="preserve"> </w:t>
      </w:r>
      <w:r w:rsidR="00B150A6">
        <w:t>(April 20, 2022),</w:t>
      </w:r>
      <w:r w:rsidR="000F1E9E">
        <w:t xml:space="preserve"> pp. 136-137. Available at: </w:t>
      </w:r>
      <w:hyperlink r:id="rId1" w:history="1">
        <w:r w:rsidR="000F1E9E" w:rsidRPr="00A2477B">
          <w:rPr>
            <w:rStyle w:val="Hyperlink"/>
          </w:rPr>
          <w:t>https://tinyurl.com/26wm49ud</w:t>
        </w:r>
      </w:hyperlink>
      <w:r w:rsidR="000F1E9E">
        <w:t xml:space="preserve">. </w:t>
      </w:r>
    </w:p>
    <w:p w14:paraId="0DA371D0" w14:textId="77777777" w:rsidR="002C21D7" w:rsidRDefault="002C21D7">
      <w:pPr>
        <w:pStyle w:val="FootnoteText"/>
      </w:pPr>
    </w:p>
  </w:footnote>
  <w:footnote w:id="2">
    <w:p w14:paraId="25ED25D5" w14:textId="0549DFC6" w:rsidR="005B0559" w:rsidRDefault="005B0559">
      <w:pPr>
        <w:pStyle w:val="FootnoteText"/>
      </w:pPr>
      <w:r>
        <w:rPr>
          <w:rStyle w:val="FootnoteReference"/>
        </w:rPr>
        <w:footnoteRef/>
      </w:r>
      <w:r>
        <w:t xml:space="preserve"> </w:t>
      </w:r>
      <w:r w:rsidR="00B2494A">
        <w:t xml:space="preserve">When the community learned </w:t>
      </w:r>
      <w:r w:rsidR="00777408">
        <w:t xml:space="preserve">no details are settled </w:t>
      </w:r>
      <w:r w:rsidR="001E58E9">
        <w:t xml:space="preserve">about the </w:t>
      </w:r>
      <w:r w:rsidR="00386F73">
        <w:t xml:space="preserve">UDC plans </w:t>
      </w:r>
      <w:r w:rsidR="00F93FBA">
        <w:t>to use</w:t>
      </w:r>
      <w:r w:rsidR="00386F73">
        <w:t xml:space="preserve"> the building for university archives and a jazz music collection</w:t>
      </w:r>
      <w:r w:rsidR="00B2494A">
        <w:t xml:space="preserve">, we submitted a </w:t>
      </w:r>
      <w:r w:rsidR="00777408">
        <w:t>FOIA request for the memorandum laying that out</w:t>
      </w:r>
      <w:r w:rsidR="00B2494A">
        <w:t>.</w:t>
      </w:r>
      <w:r w:rsidR="00777408">
        <w:t xml:space="preserve"> DGS responded that they had no such document. </w:t>
      </w:r>
    </w:p>
    <w:p w14:paraId="7253F402" w14:textId="77777777" w:rsidR="00960E42" w:rsidRDefault="00960E42">
      <w:pPr>
        <w:pStyle w:val="FootnoteText"/>
      </w:pPr>
    </w:p>
  </w:footnote>
  <w:footnote w:id="3">
    <w:p w14:paraId="2E01E1F4" w14:textId="476BA1EA" w:rsidR="00960E42" w:rsidRDefault="00960E42">
      <w:pPr>
        <w:pStyle w:val="FootnoteText"/>
      </w:pPr>
      <w:r>
        <w:rPr>
          <w:rStyle w:val="FootnoteReference"/>
        </w:rPr>
        <w:footnoteRef/>
      </w:r>
      <w:r>
        <w:t xml:space="preserve"> See OCTO discussion in </w:t>
      </w:r>
      <w:r w:rsidRPr="00960E42">
        <w:rPr>
          <w:i/>
          <w:iCs/>
        </w:rPr>
        <w:t>FY23 Budget Report</w:t>
      </w:r>
      <w:r>
        <w:t xml:space="preserve"> (note 1 above), p. 118.</w:t>
      </w:r>
    </w:p>
    <w:p w14:paraId="072F68AD" w14:textId="77777777" w:rsidR="000424EB" w:rsidRDefault="000424EB">
      <w:pPr>
        <w:pStyle w:val="FootnoteText"/>
      </w:pPr>
    </w:p>
  </w:footnote>
  <w:footnote w:id="4">
    <w:p w14:paraId="4380B151" w14:textId="43307731" w:rsidR="00B2494A" w:rsidRDefault="00B2494A">
      <w:pPr>
        <w:pStyle w:val="FootnoteText"/>
      </w:pPr>
      <w:r>
        <w:rPr>
          <w:rStyle w:val="FootnoteReference"/>
        </w:rPr>
        <w:footnoteRef/>
      </w:r>
      <w:r>
        <w:t xml:space="preserve"> </w:t>
      </w:r>
      <w:r w:rsidR="00CC552D">
        <w:t xml:space="preserve">Digital records obviously make public access easier, such as by FOIA. </w:t>
      </w:r>
      <w:r>
        <w:t xml:space="preserve">Open Government Coalition comments are available here: </w:t>
      </w:r>
      <w:hyperlink r:id="rId2" w:history="1">
        <w:r w:rsidRPr="00A2477B">
          <w:rPr>
            <w:rStyle w:val="Hyperlink"/>
          </w:rPr>
          <w:t>https://dcogc.org/wp-content/uploads/2022/10/OGC-letter-on-Archives-draft-initial-report.docx</w:t>
        </w:r>
      </w:hyperlink>
      <w:r>
        <w:t xml:space="preserve">. </w:t>
      </w:r>
    </w:p>
  </w:footnote>
  <w:footnote w:id="5">
    <w:p w14:paraId="62F1A321" w14:textId="2CE47DAC" w:rsidR="000424EB" w:rsidRDefault="000424EB">
      <w:pPr>
        <w:pStyle w:val="FootnoteText"/>
      </w:pPr>
      <w:r>
        <w:rPr>
          <w:rStyle w:val="FootnoteReference"/>
        </w:rPr>
        <w:footnoteRef/>
      </w:r>
      <w:r>
        <w:t xml:space="preserve"> </w:t>
      </w:r>
      <w:r>
        <w:t xml:space="preserve">The Archives of American Gardens </w:t>
      </w:r>
      <w:r>
        <w:t xml:space="preserve">is </w:t>
      </w:r>
      <w:r w:rsidR="00E2726A">
        <w:t>part of</w:t>
      </w:r>
      <w:r>
        <w:t xml:space="preserve"> Smithsonian</w:t>
      </w:r>
      <w:r w:rsidR="00E2726A">
        <w:t xml:space="preserve"> Gardens. See</w:t>
      </w:r>
      <w:r w:rsidR="00E2726A" w:rsidRPr="00E2726A">
        <w:t xml:space="preserve"> </w:t>
      </w:r>
      <w:hyperlink r:id="rId3" w:history="1">
        <w:r w:rsidR="00E2726A" w:rsidRPr="00A2477B">
          <w:rPr>
            <w:rStyle w:val="Hyperlink"/>
          </w:rPr>
          <w:t>https://gardens.si.edu/collections/archives/</w:t>
        </w:r>
      </w:hyperlink>
      <w:r w:rsidR="00E2726A">
        <w:t xml:space="preserve">.   The </w:t>
      </w:r>
      <w:r>
        <w:t>unit co</w:t>
      </w:r>
      <w:r>
        <w:t xml:space="preserve">llects, preserves, and provides access to </w:t>
      </w:r>
      <w:r w:rsidR="00BC3989">
        <w:t>written records and photographs</w:t>
      </w:r>
      <w:r w:rsidR="00BC3989">
        <w:t xml:space="preserve"> </w:t>
      </w:r>
      <w:r>
        <w:t>that document the history of gardens in America</w:t>
      </w:r>
      <w:r w:rsidR="00BC3989">
        <w:t>.</w:t>
      </w:r>
      <w:r w:rsidR="00761904">
        <w:t xml:space="preserve"> </w:t>
      </w:r>
    </w:p>
    <w:p w14:paraId="2EE2D772" w14:textId="77777777" w:rsidR="00403F1F" w:rsidRDefault="00403F1F">
      <w:pPr>
        <w:pStyle w:val="FootnoteText"/>
      </w:pPr>
    </w:p>
  </w:footnote>
  <w:footnote w:id="6">
    <w:p w14:paraId="5600766C" w14:textId="102E3127" w:rsidR="00382A89" w:rsidRDefault="00382A89">
      <w:pPr>
        <w:pStyle w:val="FootnoteText"/>
      </w:pPr>
      <w:r>
        <w:rPr>
          <w:rStyle w:val="FootnoteReference"/>
        </w:rPr>
        <w:footnoteRef/>
      </w:r>
      <w:r>
        <w:t xml:space="preserve"> Committee on Executive Administration &amp; Labor, February 10, 2023. Available at: </w:t>
      </w:r>
      <w:hyperlink r:id="rId4" w:history="1">
        <w:r w:rsidRPr="00A2477B">
          <w:rPr>
            <w:rStyle w:val="Hyperlink"/>
          </w:rPr>
          <w:t>https://www.youtube.com/watch?v=nu8X-XEKwuI</w:t>
        </w:r>
      </w:hyperlink>
      <w:r>
        <w:t xml:space="preserve">. </w:t>
      </w:r>
    </w:p>
    <w:p w14:paraId="57206083" w14:textId="77777777" w:rsidR="00382A89" w:rsidRDefault="00382A89">
      <w:pPr>
        <w:pStyle w:val="FootnoteText"/>
      </w:pPr>
    </w:p>
  </w:footnote>
  <w:footnote w:id="7">
    <w:p w14:paraId="3A93D1C6" w14:textId="3D6C5756" w:rsidR="00403F1F" w:rsidRPr="00403F1F" w:rsidRDefault="00403F1F" w:rsidP="00403F1F">
      <w:pPr>
        <w:pStyle w:val="FootnoteText"/>
      </w:pPr>
      <w:r>
        <w:rPr>
          <w:rStyle w:val="FootnoteReference"/>
        </w:rPr>
        <w:footnoteRef/>
      </w:r>
      <w:r>
        <w:t xml:space="preserve"> </w:t>
      </w:r>
      <w:r w:rsidR="00B51CB4">
        <w:t>According to experts, “</w:t>
      </w:r>
      <w:r>
        <w:t xml:space="preserve">A charette is </w:t>
      </w:r>
      <w:r w:rsidRPr="00403F1F">
        <w:t>an intensive workshop in which various stakeholders and experts are brought together to address a particular design issue</w:t>
      </w:r>
      <w:r>
        <w:t xml:space="preserve">… </w:t>
      </w:r>
      <w:r w:rsidRPr="00403F1F">
        <w:t>A charrette can be the mechanism that starts the communication process among the project team members, building users, and project management staff. As such, it is important that all relevant decision makers attend. Furthermore, a charrette can be viewed as a creative burst of energy that builds momentum for a project and sets it on a course to meet project goals. It can transform a project from a static, complex problem to a successful, buildable plan. Usually, it is an intensely focused, multi-day session that uses a collaborative approach to create realistic and achievable design ideas that respond successfully to the issues at hand.</w:t>
      </w:r>
      <w:r w:rsidR="00B51CB4">
        <w:t xml:space="preserve">” </w:t>
      </w:r>
      <w:r w:rsidR="00B51CB4" w:rsidRPr="006B4761">
        <w:rPr>
          <w:i/>
          <w:iCs/>
        </w:rPr>
        <w:t xml:space="preserve">Whole Building </w:t>
      </w:r>
      <w:r w:rsidR="00134EF5" w:rsidRPr="006B4761">
        <w:rPr>
          <w:i/>
          <w:iCs/>
        </w:rPr>
        <w:t>Design Guide</w:t>
      </w:r>
      <w:r w:rsidR="00B51CB4">
        <w:t>.</w:t>
      </w:r>
      <w:r w:rsidR="006B4761">
        <w:t xml:space="preserve"> Available at:</w:t>
      </w:r>
      <w:r>
        <w:t xml:space="preserve"> </w:t>
      </w:r>
      <w:hyperlink r:id="rId5" w:history="1">
        <w:r w:rsidR="00B51CB4" w:rsidRPr="00A2477B">
          <w:rPr>
            <w:rStyle w:val="Hyperlink"/>
          </w:rPr>
          <w:t>https://www.wbdg.org/resources/planning-and-conducting-integrated-design-id-charrettes</w:t>
        </w:r>
      </w:hyperlink>
      <w:r w:rsidR="00B51CB4">
        <w:t xml:space="preserve">. </w:t>
      </w:r>
    </w:p>
    <w:p w14:paraId="69D046C6" w14:textId="53E37C22" w:rsidR="00403F1F" w:rsidRDefault="00403F1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534F2"/>
    <w:multiLevelType w:val="hybridMultilevel"/>
    <w:tmpl w:val="6608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8A4B62"/>
    <w:multiLevelType w:val="hybridMultilevel"/>
    <w:tmpl w:val="9C6C7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31885"/>
    <w:multiLevelType w:val="hybridMultilevel"/>
    <w:tmpl w:val="BF664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396F02"/>
    <w:multiLevelType w:val="hybridMultilevel"/>
    <w:tmpl w:val="5E683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21421E"/>
    <w:multiLevelType w:val="hybridMultilevel"/>
    <w:tmpl w:val="53B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3B42B1"/>
    <w:multiLevelType w:val="hybridMultilevel"/>
    <w:tmpl w:val="FA56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A14715"/>
    <w:multiLevelType w:val="hybridMultilevel"/>
    <w:tmpl w:val="506CA076"/>
    <w:lvl w:ilvl="0" w:tplc="59322DA0">
      <w:start w:val="1"/>
      <w:numFmt w:val="bullet"/>
      <w:lvlText w:val="●"/>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0656D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864B6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5CF9F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DAD22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B6BB2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70953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7AF67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E8DA2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4A82E62"/>
    <w:multiLevelType w:val="hybridMultilevel"/>
    <w:tmpl w:val="BBAAF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951527"/>
    <w:multiLevelType w:val="hybridMultilevel"/>
    <w:tmpl w:val="680E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2333693">
    <w:abstractNumId w:val="6"/>
  </w:num>
  <w:num w:numId="2" w16cid:durableId="347606041">
    <w:abstractNumId w:val="4"/>
  </w:num>
  <w:num w:numId="3" w16cid:durableId="167596239">
    <w:abstractNumId w:val="2"/>
  </w:num>
  <w:num w:numId="4" w16cid:durableId="1733194768">
    <w:abstractNumId w:val="1"/>
  </w:num>
  <w:num w:numId="5" w16cid:durableId="245916487">
    <w:abstractNumId w:val="8"/>
  </w:num>
  <w:num w:numId="6" w16cid:durableId="1329213134">
    <w:abstractNumId w:val="7"/>
  </w:num>
  <w:num w:numId="7" w16cid:durableId="1517694493">
    <w:abstractNumId w:val="5"/>
  </w:num>
  <w:num w:numId="8" w16cid:durableId="1003819286">
    <w:abstractNumId w:val="3"/>
  </w:num>
  <w:num w:numId="9" w16cid:durableId="74671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1EF"/>
    <w:rsid w:val="000424EB"/>
    <w:rsid w:val="00062C42"/>
    <w:rsid w:val="000843E4"/>
    <w:rsid w:val="00093DA7"/>
    <w:rsid w:val="000A2CD4"/>
    <w:rsid w:val="000D0554"/>
    <w:rsid w:val="000F1E9E"/>
    <w:rsid w:val="00134EF5"/>
    <w:rsid w:val="00140656"/>
    <w:rsid w:val="00184FA8"/>
    <w:rsid w:val="001E58E9"/>
    <w:rsid w:val="002B017D"/>
    <w:rsid w:val="002C21D7"/>
    <w:rsid w:val="002C36B9"/>
    <w:rsid w:val="002D4DDE"/>
    <w:rsid w:val="00300302"/>
    <w:rsid w:val="00307F6E"/>
    <w:rsid w:val="00366181"/>
    <w:rsid w:val="00380BC5"/>
    <w:rsid w:val="00382A89"/>
    <w:rsid w:val="00382EFD"/>
    <w:rsid w:val="00386F73"/>
    <w:rsid w:val="003C3435"/>
    <w:rsid w:val="003D380E"/>
    <w:rsid w:val="00403F1F"/>
    <w:rsid w:val="00406746"/>
    <w:rsid w:val="00467528"/>
    <w:rsid w:val="004D0797"/>
    <w:rsid w:val="004D63E6"/>
    <w:rsid w:val="00555A37"/>
    <w:rsid w:val="005B0559"/>
    <w:rsid w:val="005E230D"/>
    <w:rsid w:val="00607119"/>
    <w:rsid w:val="00654694"/>
    <w:rsid w:val="00663867"/>
    <w:rsid w:val="00666479"/>
    <w:rsid w:val="00697303"/>
    <w:rsid w:val="006B4761"/>
    <w:rsid w:val="007155EA"/>
    <w:rsid w:val="00761904"/>
    <w:rsid w:val="00777408"/>
    <w:rsid w:val="007811AE"/>
    <w:rsid w:val="007848A4"/>
    <w:rsid w:val="007869E3"/>
    <w:rsid w:val="007A7A66"/>
    <w:rsid w:val="007D07F5"/>
    <w:rsid w:val="007E66C5"/>
    <w:rsid w:val="0084131D"/>
    <w:rsid w:val="0089150A"/>
    <w:rsid w:val="008B12DB"/>
    <w:rsid w:val="008B5F87"/>
    <w:rsid w:val="008C1623"/>
    <w:rsid w:val="008E63F8"/>
    <w:rsid w:val="00960E42"/>
    <w:rsid w:val="00963229"/>
    <w:rsid w:val="009E1730"/>
    <w:rsid w:val="009E6B6E"/>
    <w:rsid w:val="00A4784C"/>
    <w:rsid w:val="00AB2C87"/>
    <w:rsid w:val="00B150A6"/>
    <w:rsid w:val="00B1566A"/>
    <w:rsid w:val="00B2494A"/>
    <w:rsid w:val="00B51CB4"/>
    <w:rsid w:val="00B813BC"/>
    <w:rsid w:val="00BC3989"/>
    <w:rsid w:val="00BE0ECA"/>
    <w:rsid w:val="00BE1F3C"/>
    <w:rsid w:val="00C241EF"/>
    <w:rsid w:val="00C806C8"/>
    <w:rsid w:val="00CC552D"/>
    <w:rsid w:val="00D114B6"/>
    <w:rsid w:val="00D11B80"/>
    <w:rsid w:val="00D36328"/>
    <w:rsid w:val="00D6752C"/>
    <w:rsid w:val="00DC138A"/>
    <w:rsid w:val="00E00BA0"/>
    <w:rsid w:val="00E16471"/>
    <w:rsid w:val="00E2726A"/>
    <w:rsid w:val="00E72553"/>
    <w:rsid w:val="00E972BE"/>
    <w:rsid w:val="00ED1D50"/>
    <w:rsid w:val="00F1665B"/>
    <w:rsid w:val="00F3433B"/>
    <w:rsid w:val="00F7724B"/>
    <w:rsid w:val="00F93FBA"/>
    <w:rsid w:val="00FB2396"/>
    <w:rsid w:val="00FD1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997D5"/>
  <w15:chartTrackingRefBased/>
  <w15:docId w15:val="{BA81BFBB-DC05-EE42-8904-ACC47B7A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1EF"/>
    <w:pPr>
      <w:spacing w:after="8" w:line="269" w:lineRule="auto"/>
      <w:ind w:left="10" w:hanging="10"/>
    </w:pPr>
    <w:rPr>
      <w:rFonts w:ascii="Times New Roman" w:eastAsia="Times New Roman" w:hAnsi="Times New Roman" w:cs="Times New Roman"/>
      <w:color w:val="000000"/>
      <w:lang w:bidi="en-US"/>
    </w:rPr>
  </w:style>
  <w:style w:type="paragraph" w:styleId="Heading1">
    <w:name w:val="heading 1"/>
    <w:basedOn w:val="Normal"/>
    <w:next w:val="Normal"/>
    <w:link w:val="Heading1Char"/>
    <w:uiPriority w:val="9"/>
    <w:qFormat/>
    <w:rsid w:val="004D63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241EF"/>
    <w:rPr>
      <w:color w:val="0000FF"/>
      <w:u w:val="single"/>
    </w:rPr>
  </w:style>
  <w:style w:type="paragraph" w:styleId="CommentText">
    <w:name w:val="annotation text"/>
    <w:basedOn w:val="Normal"/>
    <w:link w:val="CommentTextChar"/>
    <w:uiPriority w:val="99"/>
    <w:unhideWhenUsed/>
    <w:rsid w:val="00C241EF"/>
    <w:pPr>
      <w:spacing w:line="240" w:lineRule="auto"/>
    </w:pPr>
    <w:rPr>
      <w:sz w:val="20"/>
      <w:szCs w:val="20"/>
    </w:rPr>
  </w:style>
  <w:style w:type="character" w:customStyle="1" w:styleId="CommentTextChar">
    <w:name w:val="Comment Text Char"/>
    <w:basedOn w:val="DefaultParagraphFont"/>
    <w:link w:val="CommentText"/>
    <w:uiPriority w:val="99"/>
    <w:rsid w:val="00C241EF"/>
    <w:rPr>
      <w:rFonts w:ascii="Times New Roman" w:eastAsia="Times New Roman" w:hAnsi="Times New Roman" w:cs="Times New Roman"/>
      <w:color w:val="000000"/>
      <w:sz w:val="20"/>
      <w:szCs w:val="20"/>
      <w:lang w:bidi="en-US"/>
    </w:rPr>
  </w:style>
  <w:style w:type="paragraph" w:styleId="Subtitle">
    <w:name w:val="Subtitle"/>
    <w:basedOn w:val="Normal"/>
    <w:link w:val="SubtitleChar"/>
    <w:qFormat/>
    <w:rsid w:val="00C241EF"/>
    <w:pPr>
      <w:spacing w:after="0" w:line="240" w:lineRule="auto"/>
      <w:ind w:left="720" w:firstLine="0"/>
    </w:pPr>
    <w:rPr>
      <w:rFonts w:ascii="Arial" w:hAnsi="Arial"/>
      <w:color w:val="auto"/>
      <w:szCs w:val="20"/>
      <w:u w:val="single"/>
      <w:lang w:bidi="ar-SA"/>
    </w:rPr>
  </w:style>
  <w:style w:type="character" w:customStyle="1" w:styleId="SubtitleChar">
    <w:name w:val="Subtitle Char"/>
    <w:basedOn w:val="DefaultParagraphFont"/>
    <w:link w:val="Subtitle"/>
    <w:rsid w:val="00C241EF"/>
    <w:rPr>
      <w:rFonts w:ascii="Arial" w:eastAsia="Times New Roman" w:hAnsi="Arial" w:cs="Times New Roman"/>
      <w:szCs w:val="20"/>
      <w:u w:val="single"/>
    </w:rPr>
  </w:style>
  <w:style w:type="paragraph" w:styleId="ListParagraph">
    <w:name w:val="List Paragraph"/>
    <w:basedOn w:val="Normal"/>
    <w:uiPriority w:val="34"/>
    <w:qFormat/>
    <w:rsid w:val="00D114B6"/>
    <w:pPr>
      <w:ind w:left="720"/>
      <w:contextualSpacing/>
    </w:pPr>
  </w:style>
  <w:style w:type="character" w:styleId="UnresolvedMention">
    <w:name w:val="Unresolved Mention"/>
    <w:basedOn w:val="DefaultParagraphFont"/>
    <w:uiPriority w:val="99"/>
    <w:semiHidden/>
    <w:unhideWhenUsed/>
    <w:rsid w:val="002C36B9"/>
    <w:rPr>
      <w:color w:val="605E5C"/>
      <w:shd w:val="clear" w:color="auto" w:fill="E1DFDD"/>
    </w:rPr>
  </w:style>
  <w:style w:type="paragraph" w:styleId="Footer">
    <w:name w:val="footer"/>
    <w:basedOn w:val="Normal"/>
    <w:link w:val="FooterChar"/>
    <w:uiPriority w:val="99"/>
    <w:unhideWhenUsed/>
    <w:rsid w:val="002C3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6B9"/>
    <w:rPr>
      <w:rFonts w:ascii="Times New Roman" w:eastAsia="Times New Roman" w:hAnsi="Times New Roman" w:cs="Times New Roman"/>
      <w:color w:val="000000"/>
      <w:lang w:bidi="en-US"/>
    </w:rPr>
  </w:style>
  <w:style w:type="character" w:styleId="PageNumber">
    <w:name w:val="page number"/>
    <w:basedOn w:val="DefaultParagraphFont"/>
    <w:uiPriority w:val="99"/>
    <w:semiHidden/>
    <w:unhideWhenUsed/>
    <w:rsid w:val="002C36B9"/>
  </w:style>
  <w:style w:type="character" w:styleId="FollowedHyperlink">
    <w:name w:val="FollowedHyperlink"/>
    <w:basedOn w:val="DefaultParagraphFont"/>
    <w:uiPriority w:val="99"/>
    <w:semiHidden/>
    <w:unhideWhenUsed/>
    <w:rsid w:val="00963229"/>
    <w:rPr>
      <w:color w:val="954F72" w:themeColor="followedHyperlink"/>
      <w:u w:val="single"/>
    </w:rPr>
  </w:style>
  <w:style w:type="paragraph" w:styleId="EndnoteText">
    <w:name w:val="endnote text"/>
    <w:basedOn w:val="Normal"/>
    <w:link w:val="EndnoteTextChar"/>
    <w:uiPriority w:val="99"/>
    <w:semiHidden/>
    <w:unhideWhenUsed/>
    <w:rsid w:val="009632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3229"/>
    <w:rPr>
      <w:rFonts w:ascii="Times New Roman" w:eastAsia="Times New Roman" w:hAnsi="Times New Roman" w:cs="Times New Roman"/>
      <w:color w:val="000000"/>
      <w:sz w:val="20"/>
      <w:szCs w:val="20"/>
      <w:lang w:bidi="en-US"/>
    </w:rPr>
  </w:style>
  <w:style w:type="character" w:styleId="EndnoteReference">
    <w:name w:val="endnote reference"/>
    <w:basedOn w:val="DefaultParagraphFont"/>
    <w:uiPriority w:val="99"/>
    <w:semiHidden/>
    <w:unhideWhenUsed/>
    <w:rsid w:val="00963229"/>
    <w:rPr>
      <w:vertAlign w:val="superscript"/>
    </w:rPr>
  </w:style>
  <w:style w:type="character" w:customStyle="1" w:styleId="Heading1Char">
    <w:name w:val="Heading 1 Char"/>
    <w:basedOn w:val="DefaultParagraphFont"/>
    <w:link w:val="Heading1"/>
    <w:uiPriority w:val="9"/>
    <w:rsid w:val="004D63E6"/>
    <w:rPr>
      <w:rFonts w:asciiTheme="majorHAnsi" w:eastAsiaTheme="majorEastAsia" w:hAnsiTheme="majorHAnsi" w:cstheme="majorBidi"/>
      <w:color w:val="2F5496" w:themeColor="accent1" w:themeShade="BF"/>
      <w:sz w:val="32"/>
      <w:szCs w:val="32"/>
      <w:lang w:bidi="en-US"/>
    </w:rPr>
  </w:style>
  <w:style w:type="character" w:styleId="Strong">
    <w:name w:val="Strong"/>
    <w:basedOn w:val="DefaultParagraphFont"/>
    <w:uiPriority w:val="22"/>
    <w:qFormat/>
    <w:rsid w:val="007869E3"/>
    <w:rPr>
      <w:b/>
      <w:bCs/>
    </w:rPr>
  </w:style>
  <w:style w:type="character" w:customStyle="1" w:styleId="a">
    <w:name w:val="a"/>
    <w:basedOn w:val="DefaultParagraphFont"/>
    <w:rsid w:val="008C1623"/>
  </w:style>
  <w:style w:type="paragraph" w:styleId="FootnoteText">
    <w:name w:val="footnote text"/>
    <w:basedOn w:val="Normal"/>
    <w:link w:val="FootnoteTextChar"/>
    <w:uiPriority w:val="99"/>
    <w:unhideWhenUsed/>
    <w:rsid w:val="00300302"/>
    <w:pPr>
      <w:spacing w:after="0" w:line="240" w:lineRule="auto"/>
    </w:pPr>
    <w:rPr>
      <w:sz w:val="20"/>
      <w:szCs w:val="20"/>
    </w:rPr>
  </w:style>
  <w:style w:type="character" w:customStyle="1" w:styleId="FootnoteTextChar">
    <w:name w:val="Footnote Text Char"/>
    <w:basedOn w:val="DefaultParagraphFont"/>
    <w:link w:val="FootnoteText"/>
    <w:uiPriority w:val="99"/>
    <w:rsid w:val="00300302"/>
    <w:rPr>
      <w:rFonts w:ascii="Times New Roman" w:eastAsia="Times New Roman" w:hAnsi="Times New Roman" w:cs="Times New Roman"/>
      <w:color w:val="000000"/>
      <w:sz w:val="20"/>
      <w:szCs w:val="20"/>
      <w:lang w:bidi="en-US"/>
    </w:rPr>
  </w:style>
  <w:style w:type="character" w:styleId="FootnoteReference">
    <w:name w:val="footnote reference"/>
    <w:basedOn w:val="DefaultParagraphFont"/>
    <w:uiPriority w:val="99"/>
    <w:semiHidden/>
    <w:unhideWhenUsed/>
    <w:rsid w:val="00300302"/>
    <w:rPr>
      <w:vertAlign w:val="superscript"/>
    </w:rPr>
  </w:style>
  <w:style w:type="character" w:customStyle="1" w:styleId="markedcontent">
    <w:name w:val="markedcontent"/>
    <w:basedOn w:val="DefaultParagraphFont"/>
    <w:rsid w:val="000F1E9E"/>
  </w:style>
  <w:style w:type="paragraph" w:styleId="NormalWeb">
    <w:name w:val="Normal (Web)"/>
    <w:basedOn w:val="Normal"/>
    <w:uiPriority w:val="99"/>
    <w:semiHidden/>
    <w:unhideWhenUsed/>
    <w:rsid w:val="00403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7571">
      <w:bodyDiv w:val="1"/>
      <w:marLeft w:val="0"/>
      <w:marRight w:val="0"/>
      <w:marTop w:val="0"/>
      <w:marBottom w:val="0"/>
      <w:divBdr>
        <w:top w:val="none" w:sz="0" w:space="0" w:color="auto"/>
        <w:left w:val="none" w:sz="0" w:space="0" w:color="auto"/>
        <w:bottom w:val="none" w:sz="0" w:space="0" w:color="auto"/>
        <w:right w:val="none" w:sz="0" w:space="0" w:color="auto"/>
      </w:divBdr>
    </w:div>
    <w:div w:id="167671241">
      <w:bodyDiv w:val="1"/>
      <w:marLeft w:val="0"/>
      <w:marRight w:val="0"/>
      <w:marTop w:val="0"/>
      <w:marBottom w:val="0"/>
      <w:divBdr>
        <w:top w:val="none" w:sz="0" w:space="0" w:color="auto"/>
        <w:left w:val="none" w:sz="0" w:space="0" w:color="auto"/>
        <w:bottom w:val="none" w:sz="0" w:space="0" w:color="auto"/>
        <w:right w:val="none" w:sz="0" w:space="0" w:color="auto"/>
      </w:divBdr>
    </w:div>
    <w:div w:id="287400133">
      <w:bodyDiv w:val="1"/>
      <w:marLeft w:val="0"/>
      <w:marRight w:val="0"/>
      <w:marTop w:val="0"/>
      <w:marBottom w:val="0"/>
      <w:divBdr>
        <w:top w:val="none" w:sz="0" w:space="0" w:color="auto"/>
        <w:left w:val="none" w:sz="0" w:space="0" w:color="auto"/>
        <w:bottom w:val="none" w:sz="0" w:space="0" w:color="auto"/>
        <w:right w:val="none" w:sz="0" w:space="0" w:color="auto"/>
      </w:divBdr>
      <w:divsChild>
        <w:div w:id="1457867790">
          <w:marLeft w:val="0"/>
          <w:marRight w:val="0"/>
          <w:marTop w:val="0"/>
          <w:marBottom w:val="0"/>
          <w:divBdr>
            <w:top w:val="none" w:sz="0" w:space="0" w:color="auto"/>
            <w:left w:val="none" w:sz="0" w:space="0" w:color="auto"/>
            <w:bottom w:val="none" w:sz="0" w:space="0" w:color="auto"/>
            <w:right w:val="none" w:sz="0" w:space="0" w:color="auto"/>
          </w:divBdr>
        </w:div>
        <w:div w:id="1475877737">
          <w:marLeft w:val="0"/>
          <w:marRight w:val="0"/>
          <w:marTop w:val="0"/>
          <w:marBottom w:val="0"/>
          <w:divBdr>
            <w:top w:val="none" w:sz="0" w:space="0" w:color="auto"/>
            <w:left w:val="none" w:sz="0" w:space="0" w:color="auto"/>
            <w:bottom w:val="none" w:sz="0" w:space="0" w:color="auto"/>
            <w:right w:val="none" w:sz="0" w:space="0" w:color="auto"/>
          </w:divBdr>
        </w:div>
      </w:divsChild>
    </w:div>
    <w:div w:id="556235515">
      <w:bodyDiv w:val="1"/>
      <w:marLeft w:val="0"/>
      <w:marRight w:val="0"/>
      <w:marTop w:val="0"/>
      <w:marBottom w:val="0"/>
      <w:divBdr>
        <w:top w:val="none" w:sz="0" w:space="0" w:color="auto"/>
        <w:left w:val="none" w:sz="0" w:space="0" w:color="auto"/>
        <w:bottom w:val="none" w:sz="0" w:space="0" w:color="auto"/>
        <w:right w:val="none" w:sz="0" w:space="0" w:color="auto"/>
      </w:divBdr>
    </w:div>
    <w:div w:id="1118182990">
      <w:bodyDiv w:val="1"/>
      <w:marLeft w:val="0"/>
      <w:marRight w:val="0"/>
      <w:marTop w:val="0"/>
      <w:marBottom w:val="0"/>
      <w:divBdr>
        <w:top w:val="none" w:sz="0" w:space="0" w:color="auto"/>
        <w:left w:val="none" w:sz="0" w:space="0" w:color="auto"/>
        <w:bottom w:val="none" w:sz="0" w:space="0" w:color="auto"/>
        <w:right w:val="none" w:sz="0" w:space="0" w:color="auto"/>
      </w:divBdr>
    </w:div>
    <w:div w:id="1405640569">
      <w:bodyDiv w:val="1"/>
      <w:marLeft w:val="0"/>
      <w:marRight w:val="0"/>
      <w:marTop w:val="0"/>
      <w:marBottom w:val="0"/>
      <w:divBdr>
        <w:top w:val="none" w:sz="0" w:space="0" w:color="auto"/>
        <w:left w:val="none" w:sz="0" w:space="0" w:color="auto"/>
        <w:bottom w:val="none" w:sz="0" w:space="0" w:color="auto"/>
        <w:right w:val="none" w:sz="0" w:space="0" w:color="auto"/>
      </w:divBdr>
    </w:div>
    <w:div w:id="1541286312">
      <w:bodyDiv w:val="1"/>
      <w:marLeft w:val="0"/>
      <w:marRight w:val="0"/>
      <w:marTop w:val="0"/>
      <w:marBottom w:val="0"/>
      <w:divBdr>
        <w:top w:val="none" w:sz="0" w:space="0" w:color="auto"/>
        <w:left w:val="none" w:sz="0" w:space="0" w:color="auto"/>
        <w:bottom w:val="none" w:sz="0" w:space="0" w:color="auto"/>
        <w:right w:val="none" w:sz="0" w:space="0" w:color="auto"/>
      </w:divBdr>
      <w:divsChild>
        <w:div w:id="875391049">
          <w:marLeft w:val="0"/>
          <w:marRight w:val="0"/>
          <w:marTop w:val="0"/>
          <w:marBottom w:val="0"/>
          <w:divBdr>
            <w:top w:val="none" w:sz="0" w:space="0" w:color="auto"/>
            <w:left w:val="none" w:sz="0" w:space="0" w:color="auto"/>
            <w:bottom w:val="none" w:sz="0" w:space="0" w:color="auto"/>
            <w:right w:val="none" w:sz="0" w:space="0" w:color="auto"/>
          </w:divBdr>
        </w:div>
      </w:divsChild>
    </w:div>
    <w:div w:id="1549874618">
      <w:bodyDiv w:val="1"/>
      <w:marLeft w:val="0"/>
      <w:marRight w:val="0"/>
      <w:marTop w:val="0"/>
      <w:marBottom w:val="0"/>
      <w:divBdr>
        <w:top w:val="none" w:sz="0" w:space="0" w:color="auto"/>
        <w:left w:val="none" w:sz="0" w:space="0" w:color="auto"/>
        <w:bottom w:val="none" w:sz="0" w:space="0" w:color="auto"/>
        <w:right w:val="none" w:sz="0" w:space="0" w:color="auto"/>
      </w:divBdr>
      <w:divsChild>
        <w:div w:id="1632706801">
          <w:marLeft w:val="0"/>
          <w:marRight w:val="0"/>
          <w:marTop w:val="0"/>
          <w:marBottom w:val="0"/>
          <w:divBdr>
            <w:top w:val="none" w:sz="0" w:space="0" w:color="auto"/>
            <w:left w:val="none" w:sz="0" w:space="0" w:color="auto"/>
            <w:bottom w:val="none" w:sz="0" w:space="0" w:color="auto"/>
            <w:right w:val="none" w:sz="0" w:space="0" w:color="auto"/>
          </w:divBdr>
        </w:div>
      </w:divsChild>
    </w:div>
    <w:div w:id="1958247245">
      <w:bodyDiv w:val="1"/>
      <w:marLeft w:val="0"/>
      <w:marRight w:val="0"/>
      <w:marTop w:val="0"/>
      <w:marBottom w:val="0"/>
      <w:divBdr>
        <w:top w:val="none" w:sz="0" w:space="0" w:color="auto"/>
        <w:left w:val="none" w:sz="0" w:space="0" w:color="auto"/>
        <w:bottom w:val="none" w:sz="0" w:space="0" w:color="auto"/>
        <w:right w:val="none" w:sz="0" w:space="0" w:color="auto"/>
      </w:divBdr>
    </w:div>
    <w:div w:id="2001276464">
      <w:bodyDiv w:val="1"/>
      <w:marLeft w:val="0"/>
      <w:marRight w:val="0"/>
      <w:marTop w:val="0"/>
      <w:marBottom w:val="0"/>
      <w:divBdr>
        <w:top w:val="none" w:sz="0" w:space="0" w:color="auto"/>
        <w:left w:val="none" w:sz="0" w:space="0" w:color="auto"/>
        <w:bottom w:val="none" w:sz="0" w:space="0" w:color="auto"/>
        <w:right w:val="none" w:sz="0" w:space="0" w:color="auto"/>
      </w:divBdr>
      <w:divsChild>
        <w:div w:id="1632440147">
          <w:marLeft w:val="0"/>
          <w:marRight w:val="0"/>
          <w:marTop w:val="0"/>
          <w:marBottom w:val="0"/>
          <w:divBdr>
            <w:top w:val="none" w:sz="0" w:space="0" w:color="auto"/>
            <w:left w:val="none" w:sz="0" w:space="0" w:color="auto"/>
            <w:bottom w:val="none" w:sz="0" w:space="0" w:color="auto"/>
            <w:right w:val="none" w:sz="0" w:space="0" w:color="auto"/>
          </w:divBdr>
        </w:div>
        <w:div w:id="1558975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mulhauser@ao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cogc.org" TargetMode="External"/><Relationship Id="rId4" Type="http://schemas.openxmlformats.org/officeDocument/2006/relationships/settings" Target="settings.xml"/><Relationship Id="rId9" Type="http://schemas.openxmlformats.org/officeDocument/2006/relationships/hyperlink" Target="http://www.dcogc.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gardens.si.edu/collections/archives/" TargetMode="External"/><Relationship Id="rId2" Type="http://schemas.openxmlformats.org/officeDocument/2006/relationships/hyperlink" Target="https://dcogc.org/wp-content/uploads/2022/10/OGC-letter-on-Archives-draft-initial-report.docx" TargetMode="External"/><Relationship Id="rId1" Type="http://schemas.openxmlformats.org/officeDocument/2006/relationships/hyperlink" Target="https://tinyurl.com/26wm49ud" TargetMode="External"/><Relationship Id="rId5" Type="http://schemas.openxmlformats.org/officeDocument/2006/relationships/hyperlink" Target="https://www.wbdg.org/resources/planning-and-conducting-integrated-design-id-charrettes" TargetMode="External"/><Relationship Id="rId4" Type="http://schemas.openxmlformats.org/officeDocument/2006/relationships/hyperlink" Target="https://www.youtube.com/watch?v=nu8X-XEKw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03A5D-0126-9D40-9593-E0CB9196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Mulhauser</dc:creator>
  <cp:keywords/>
  <dc:description/>
  <cp:lastModifiedBy>Fritz Mulhauser</cp:lastModifiedBy>
  <cp:revision>2</cp:revision>
  <cp:lastPrinted>2023-02-27T17:35:00Z</cp:lastPrinted>
  <dcterms:created xsi:type="dcterms:W3CDTF">2023-02-27T17:36:00Z</dcterms:created>
  <dcterms:modified xsi:type="dcterms:W3CDTF">2023-02-27T17:36:00Z</dcterms:modified>
</cp:coreProperties>
</file>