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7B659" w14:textId="77777777" w:rsidR="00A8622F" w:rsidRPr="009641ED" w:rsidRDefault="00A8622F" w:rsidP="00A8622F">
      <w:pPr>
        <w:spacing w:after="240"/>
        <w:jc w:val="center"/>
        <w:rPr>
          <w:rFonts w:eastAsiaTheme="minorEastAsia" w:cstheme="minorBidi"/>
          <w:lang w:eastAsia="ja-JP"/>
        </w:rPr>
      </w:pPr>
      <w:r w:rsidRPr="009641ED">
        <w:rPr>
          <w:rFonts w:ascii="Helvetica" w:hAnsi="Helvetica" w:cstheme="minorBidi"/>
          <w:noProof/>
          <w:color w:val="454541"/>
          <w:kern w:val="28"/>
          <w:sz w:val="60"/>
          <w:szCs w:val="56"/>
        </w:rPr>
        <w:drawing>
          <wp:inline distT="0" distB="0" distL="0" distR="0" wp14:anchorId="39311F2F" wp14:editId="2C861C73">
            <wp:extent cx="242379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795" cy="871855"/>
                    </a:xfrm>
                    <a:prstGeom prst="rect">
                      <a:avLst/>
                    </a:prstGeom>
                    <a:noFill/>
                    <a:ln w="9525">
                      <a:noFill/>
                      <a:miter lim="800000"/>
                      <a:headEnd/>
                      <a:tailEnd/>
                    </a:ln>
                  </pic:spPr>
                </pic:pic>
              </a:graphicData>
            </a:graphic>
          </wp:inline>
        </w:drawing>
      </w:r>
    </w:p>
    <w:p w14:paraId="6E5B8255" w14:textId="77777777" w:rsidR="00A8622F" w:rsidRDefault="00A8622F" w:rsidP="00A8622F">
      <w:pPr>
        <w:pStyle w:val="OrangeBorder"/>
      </w:pPr>
    </w:p>
    <w:p w14:paraId="17B5EC26" w14:textId="217F3961" w:rsidR="00A8622F" w:rsidRPr="009641ED" w:rsidRDefault="00A8622F" w:rsidP="00A8622F">
      <w:pPr>
        <w:pStyle w:val="Title"/>
        <w:rPr>
          <w:rFonts w:eastAsiaTheme="majorEastAsia" w:cstheme="majorBidi"/>
          <w:lang w:eastAsia="ja-JP"/>
        </w:rPr>
      </w:pPr>
      <w:r w:rsidRPr="009641ED">
        <w:rPr>
          <w:rFonts w:eastAsiaTheme="majorEastAsia" w:cstheme="majorBidi"/>
          <w:lang w:eastAsia="ja-JP"/>
        </w:rPr>
        <w:t>D.C. Open Meetings Amendment</w:t>
      </w:r>
      <w:r w:rsidRPr="009641ED">
        <w:rPr>
          <w:rFonts w:eastAsiaTheme="majorEastAsia" w:cstheme="majorBidi"/>
          <w:lang w:eastAsia="ja-JP"/>
        </w:rPr>
        <w:br/>
        <w:t>Act of 2010</w:t>
      </w:r>
    </w:p>
    <w:p w14:paraId="2003565D" w14:textId="77777777" w:rsidR="000275AA" w:rsidRPr="009641ED" w:rsidRDefault="00A958F2" w:rsidP="00A8622F">
      <w:pPr>
        <w:pStyle w:val="Subtitle-16pts"/>
        <w:rPr>
          <w:rFonts w:ascii="Times New Roman" w:eastAsiaTheme="minorEastAsia" w:hAnsi="Times New Roman" w:cstheme="minorBidi"/>
        </w:rPr>
      </w:pPr>
      <w:r w:rsidRPr="009641ED">
        <w:rPr>
          <w:rFonts w:ascii="Times New Roman" w:eastAsiaTheme="minorEastAsia" w:hAnsi="Times New Roman" w:cstheme="minorBidi"/>
        </w:rPr>
        <w:t>A User’s Guide</w:t>
      </w:r>
    </w:p>
    <w:p w14:paraId="2A96FE93" w14:textId="28337444" w:rsidR="000275AA" w:rsidRDefault="00A958F2" w:rsidP="00FC69E6">
      <w:pPr>
        <w:pStyle w:val="RHsParaInd-14pts"/>
        <w:ind w:left="1350" w:right="1080"/>
        <w:jc w:val="center"/>
        <w:rPr>
          <w:rFonts w:eastAsiaTheme="minorEastAsia" w:cstheme="minorBidi"/>
        </w:rPr>
      </w:pPr>
      <w:r w:rsidRPr="009641ED">
        <w:rPr>
          <w:rFonts w:eastAsiaTheme="minorEastAsia" w:cstheme="minorBidi"/>
        </w:rPr>
        <w:t xml:space="preserve">The public policy of the District is that all persons are entitled to full and complete information regarding the affairs of government and the actions of </w:t>
      </w:r>
      <w:r w:rsidR="00FC69E6">
        <w:rPr>
          <w:rFonts w:eastAsiaTheme="minorEastAsia" w:cstheme="minorBidi"/>
        </w:rPr>
        <w:br/>
      </w:r>
      <w:r w:rsidRPr="009641ED">
        <w:rPr>
          <w:rFonts w:eastAsiaTheme="minorEastAsia" w:cstheme="minorBidi"/>
        </w:rPr>
        <w:t>those who represent them</w:t>
      </w:r>
      <w:r w:rsidR="00563289" w:rsidRPr="009641ED">
        <w:rPr>
          <w:rFonts w:eastAsiaTheme="minorEastAsia" w:cstheme="minorBidi"/>
        </w:rPr>
        <w:t>.</w:t>
      </w:r>
      <w:r w:rsidR="00953D66" w:rsidRPr="009641ED">
        <w:rPr>
          <w:rFonts w:eastAsiaTheme="minorEastAsia" w:cstheme="minorBidi"/>
        </w:rPr>
        <w:t xml:space="preserve"> </w:t>
      </w:r>
      <w:r w:rsidR="00FC69E6">
        <w:rPr>
          <w:rFonts w:eastAsiaTheme="minorEastAsia" w:cstheme="minorBidi"/>
        </w:rPr>
        <w:br/>
      </w:r>
      <w:r w:rsidRPr="009641ED">
        <w:rPr>
          <w:rFonts w:eastAsiaTheme="minorEastAsia" w:cstheme="minorBidi"/>
        </w:rPr>
        <w:t>D.C. Code § 2-57</w:t>
      </w:r>
      <w:r w:rsidR="00953D66" w:rsidRPr="009641ED">
        <w:rPr>
          <w:rFonts w:eastAsiaTheme="minorEastAsia" w:cstheme="minorBidi"/>
        </w:rPr>
        <w:t>2</w:t>
      </w:r>
    </w:p>
    <w:p w14:paraId="59002B3E" w14:textId="0DCE27E1" w:rsidR="00BC0945" w:rsidRPr="00BC0945" w:rsidRDefault="00951294" w:rsidP="00FC69E6">
      <w:pPr>
        <w:pStyle w:val="RHsParaInd-14pts"/>
        <w:ind w:left="1350" w:right="1080"/>
        <w:jc w:val="center"/>
        <w:rPr>
          <w:rFonts w:eastAsiaTheme="minorEastAsia" w:cstheme="minorBidi"/>
          <w:i w:val="0"/>
        </w:rPr>
      </w:pPr>
      <w:r>
        <w:rPr>
          <w:rFonts w:eastAsiaTheme="minorEastAsia" w:cstheme="minorBidi"/>
          <w:i w:val="0"/>
        </w:rPr>
        <w:t>February 2023</w:t>
      </w:r>
    </w:p>
    <w:p w14:paraId="0DF98131" w14:textId="0192D8E1" w:rsidR="000275AA" w:rsidRDefault="00A958F2" w:rsidP="009F37E4">
      <w:pPr>
        <w:pStyle w:val="RNSParaNoIndS"/>
        <w:jc w:val="both"/>
        <w:rPr>
          <w:rFonts w:eastAsiaTheme="minorEastAsia" w:cstheme="minorBidi"/>
        </w:rPr>
      </w:pPr>
      <w:r w:rsidRPr="009641ED">
        <w:rPr>
          <w:rFonts w:eastAsiaTheme="minorEastAsia" w:cstheme="minorBidi"/>
        </w:rPr>
        <w:t>When public bodies hold a meeting, the meeting must be open to the public</w:t>
      </w:r>
      <w:r w:rsidR="00463749">
        <w:rPr>
          <w:rFonts w:eastAsiaTheme="minorEastAsia" w:cstheme="minorBidi"/>
        </w:rPr>
        <w:t xml:space="preserve">.  </w:t>
      </w:r>
      <w:r w:rsidRPr="009641ED">
        <w:rPr>
          <w:rFonts w:eastAsiaTheme="minorEastAsia" w:cstheme="minorBidi"/>
        </w:rPr>
        <w:t>Only rarely can the meeting be closed</w:t>
      </w:r>
      <w:r w:rsidR="00463749">
        <w:rPr>
          <w:rFonts w:eastAsiaTheme="minorEastAsia" w:cstheme="minorBidi"/>
        </w:rPr>
        <w:t xml:space="preserve">.  </w:t>
      </w:r>
      <w:r w:rsidRPr="009641ED">
        <w:rPr>
          <w:rFonts w:eastAsiaTheme="minorEastAsia" w:cstheme="minorBidi"/>
        </w:rPr>
        <w:t>Under Washington</w:t>
      </w:r>
      <w:r w:rsidR="00930982" w:rsidRPr="009641ED">
        <w:rPr>
          <w:rFonts w:eastAsiaTheme="minorEastAsia" w:cstheme="minorBidi"/>
        </w:rPr>
        <w:t>,</w:t>
      </w:r>
      <w:r w:rsidRPr="009641ED">
        <w:rPr>
          <w:rFonts w:eastAsiaTheme="minorEastAsia" w:cstheme="minorBidi"/>
        </w:rPr>
        <w:t xml:space="preserve"> D.C.’s Open Meetings Act </w:t>
      </w:r>
      <w:r w:rsidR="00930982" w:rsidRPr="009641ED">
        <w:rPr>
          <w:rFonts w:eastAsiaTheme="minorEastAsia" w:cstheme="minorBidi"/>
        </w:rPr>
        <w:t xml:space="preserve">(OMA, </w:t>
      </w:r>
      <w:r w:rsidRPr="009641ED">
        <w:rPr>
          <w:rFonts w:eastAsiaTheme="minorEastAsia" w:cstheme="minorBidi"/>
        </w:rPr>
        <w:t>created by the Open Meetings Amendment Act of 2010), a meeting is considered “open to the public” if either the public or news media is allowed to be physically present, or the meeting is televised</w:t>
      </w:r>
      <w:r w:rsidR="00463749">
        <w:rPr>
          <w:rFonts w:eastAsiaTheme="minorEastAsia" w:cstheme="minorBidi"/>
        </w:rPr>
        <w:t xml:space="preserve">.  </w:t>
      </w:r>
      <w:r w:rsidRPr="009641ED">
        <w:rPr>
          <w:rFonts w:eastAsiaTheme="minorEastAsia" w:cstheme="minorBidi"/>
        </w:rPr>
        <w:t>(§ 2-57</w:t>
      </w:r>
      <w:r w:rsidR="000A23FD" w:rsidRPr="009641ED">
        <w:rPr>
          <w:rFonts w:eastAsiaTheme="minorEastAsia" w:cstheme="minorBidi"/>
        </w:rPr>
        <w:t>3</w:t>
      </w:r>
      <w:r w:rsidRPr="009641ED">
        <w:rPr>
          <w:rFonts w:eastAsiaTheme="minorEastAsia" w:cstheme="minorBidi"/>
        </w:rPr>
        <w:t>(a)</w:t>
      </w:r>
      <w:r w:rsidR="00930982" w:rsidRPr="009641ED">
        <w:rPr>
          <w:rFonts w:eastAsiaTheme="minorEastAsia" w:cstheme="minorBidi"/>
        </w:rPr>
        <w:t>.</w:t>
      </w:r>
      <w:r w:rsidRPr="009641ED">
        <w:rPr>
          <w:rFonts w:eastAsiaTheme="minorEastAsia" w:cstheme="minorBidi"/>
        </w:rPr>
        <w:t xml:space="preserve">) The </w:t>
      </w:r>
      <w:r w:rsidR="00930982" w:rsidRPr="009641ED">
        <w:rPr>
          <w:rFonts w:eastAsiaTheme="minorEastAsia" w:cstheme="minorBidi"/>
        </w:rPr>
        <w:t>OMA</w:t>
      </w:r>
      <w:r w:rsidRPr="009641ED">
        <w:rPr>
          <w:rFonts w:eastAsiaTheme="minorEastAsia" w:cstheme="minorBidi"/>
        </w:rPr>
        <w:t xml:space="preserve"> specifies that it should be interpreted “broadly to max</w:t>
      </w:r>
      <w:r w:rsidR="00930982" w:rsidRPr="009641ED">
        <w:rPr>
          <w:rFonts w:eastAsiaTheme="minorEastAsia" w:cstheme="minorBidi"/>
        </w:rPr>
        <w:t>imize public access to meetings</w:t>
      </w:r>
      <w:r w:rsidRPr="009641ED">
        <w:rPr>
          <w:rFonts w:eastAsiaTheme="minorEastAsia" w:cstheme="minorBidi"/>
        </w:rPr>
        <w:t>” and that exceptions to its openness requirements should “be construed narrowly</w:t>
      </w:r>
      <w:r w:rsidR="00F06BE3">
        <w:rPr>
          <w:rFonts w:eastAsiaTheme="minorEastAsia" w:cstheme="minorBidi"/>
        </w:rPr>
        <w:t> </w:t>
      </w:r>
      <w:proofErr w:type="gramStart"/>
      <w:r w:rsidRPr="009641ED">
        <w:rPr>
          <w:rFonts w:eastAsiaTheme="minorEastAsia" w:cstheme="minorBidi"/>
        </w:rPr>
        <w:t>.</w:t>
      </w:r>
      <w:r w:rsidR="00F06BE3">
        <w:rPr>
          <w:rFonts w:eastAsiaTheme="minorEastAsia" w:cstheme="minorBidi"/>
        </w:rPr>
        <w:t> </w:t>
      </w:r>
      <w:r w:rsidRPr="009641ED">
        <w:rPr>
          <w:rFonts w:eastAsiaTheme="minorEastAsia" w:cstheme="minorBidi"/>
        </w:rPr>
        <w:t>.</w:t>
      </w:r>
      <w:r w:rsidR="00F06BE3">
        <w:rPr>
          <w:rFonts w:eastAsiaTheme="minorEastAsia" w:cstheme="minorBidi"/>
        </w:rPr>
        <w:t> </w:t>
      </w:r>
      <w:r w:rsidRPr="009641ED">
        <w:rPr>
          <w:rFonts w:eastAsiaTheme="minorEastAsia" w:cstheme="minorBidi"/>
        </w:rPr>
        <w:t>.</w:t>
      </w:r>
      <w:r w:rsidR="00F06BE3">
        <w:rPr>
          <w:rFonts w:eastAsiaTheme="minorEastAsia" w:cstheme="minorBidi"/>
        </w:rPr>
        <w:t> </w:t>
      </w:r>
      <w:r w:rsidRPr="009641ED">
        <w:rPr>
          <w:rFonts w:eastAsiaTheme="minorEastAsia" w:cstheme="minorBidi"/>
        </w:rPr>
        <w:t>.</w:t>
      </w:r>
      <w:proofErr w:type="gramEnd"/>
      <w:r w:rsidRPr="009641ED">
        <w:rPr>
          <w:rFonts w:eastAsiaTheme="minorEastAsia" w:cstheme="minorBidi"/>
        </w:rPr>
        <w:t>” (§ 2-57</w:t>
      </w:r>
      <w:r w:rsidR="00853F2D" w:rsidRPr="009641ED">
        <w:rPr>
          <w:rFonts w:eastAsiaTheme="minorEastAsia" w:cstheme="minorBidi"/>
        </w:rPr>
        <w:t>3</w:t>
      </w:r>
      <w:r w:rsidR="00930982" w:rsidRPr="009641ED">
        <w:rPr>
          <w:rFonts w:eastAsiaTheme="minorEastAsia" w:cstheme="minorBidi"/>
        </w:rPr>
        <w:t>.</w:t>
      </w:r>
      <w:r w:rsidRPr="009641ED">
        <w:rPr>
          <w:rFonts w:eastAsiaTheme="minorEastAsia" w:cstheme="minorBidi"/>
        </w:rPr>
        <w:t xml:space="preserve">) </w:t>
      </w:r>
    </w:p>
    <w:p w14:paraId="7996D007" w14:textId="4665328E" w:rsidR="00F9596A" w:rsidRDefault="003C426C" w:rsidP="009F37E4">
      <w:pPr>
        <w:pStyle w:val="RNSParaNoIndS"/>
        <w:jc w:val="both"/>
        <w:rPr>
          <w:rFonts w:eastAsiaTheme="minorEastAsia" w:cstheme="minorBidi"/>
        </w:rPr>
      </w:pPr>
      <w:r>
        <w:rPr>
          <w:rFonts w:eastAsiaTheme="minorEastAsia" w:cstheme="minorBidi"/>
        </w:rPr>
        <w:t>Allowing p</w:t>
      </w:r>
      <w:r w:rsidR="00F9596A">
        <w:rPr>
          <w:rFonts w:eastAsiaTheme="minorEastAsia" w:cstheme="minorBidi"/>
        </w:rPr>
        <w:t xml:space="preserve">hysical attendance </w:t>
      </w:r>
      <w:r>
        <w:rPr>
          <w:rFonts w:eastAsiaTheme="minorEastAsia" w:cstheme="minorBidi"/>
        </w:rPr>
        <w:t xml:space="preserve">by the public </w:t>
      </w:r>
      <w:r w:rsidR="00F9596A">
        <w:rPr>
          <w:rFonts w:eastAsiaTheme="minorEastAsia" w:cstheme="minorBidi"/>
        </w:rPr>
        <w:t>is not required</w:t>
      </w:r>
      <w:r w:rsidR="00951294">
        <w:rPr>
          <w:rFonts w:eastAsiaTheme="minorEastAsia" w:cstheme="minorBidi"/>
        </w:rPr>
        <w:t xml:space="preserve"> if alternative access is provided</w:t>
      </w:r>
      <w:r w:rsidR="00F9596A">
        <w:rPr>
          <w:rFonts w:eastAsiaTheme="minorEastAsia" w:cstheme="minorBidi"/>
        </w:rPr>
        <w:t xml:space="preserve">. Emergency rules </w:t>
      </w:r>
      <w:r w:rsidR="00951294">
        <w:rPr>
          <w:rFonts w:eastAsiaTheme="minorEastAsia" w:cstheme="minorBidi"/>
        </w:rPr>
        <w:t>provided f</w:t>
      </w:r>
      <w:r w:rsidR="00F9596A">
        <w:rPr>
          <w:rFonts w:eastAsiaTheme="minorEastAsia" w:cstheme="minorBidi"/>
        </w:rPr>
        <w:t xml:space="preserve">or virtual meetings during the public health emergency and continued afterwards </w:t>
      </w:r>
      <w:r w:rsidR="00951294">
        <w:rPr>
          <w:rFonts w:eastAsiaTheme="minorEastAsia" w:cstheme="minorBidi"/>
        </w:rPr>
        <w:t xml:space="preserve">because of the popularity of virtual gatherings. The law </w:t>
      </w:r>
      <w:r w:rsidR="00F9596A">
        <w:rPr>
          <w:rFonts w:eastAsiaTheme="minorEastAsia" w:cstheme="minorBidi"/>
        </w:rPr>
        <w:t>provide</w:t>
      </w:r>
      <w:r w:rsidR="00951294">
        <w:rPr>
          <w:rFonts w:eastAsiaTheme="minorEastAsia" w:cstheme="minorBidi"/>
        </w:rPr>
        <w:t>s</w:t>
      </w:r>
      <w:r w:rsidR="00F9596A">
        <w:rPr>
          <w:rFonts w:eastAsiaTheme="minorEastAsia" w:cstheme="minorBidi"/>
        </w:rPr>
        <w:t xml:space="preserve"> that a meeting is open if</w:t>
      </w:r>
      <w:r w:rsidR="00951294">
        <w:rPr>
          <w:rFonts w:eastAsiaTheme="minorEastAsia" w:cstheme="minorBidi"/>
        </w:rPr>
        <w:t xml:space="preserve"> </w:t>
      </w:r>
      <w:r w:rsidR="00F9596A">
        <w:rPr>
          <w:rFonts w:eastAsiaTheme="minorEastAsia" w:cstheme="minorBidi"/>
        </w:rPr>
        <w:t>“</w:t>
      </w:r>
      <w:r w:rsidR="00F9596A">
        <w:t>the public body takes steps reasonably calculated to allow the public to view or hear the meeting while the meeting is taking place, or, if doing so is not technologically feasible, as soon thereafter as reasonably practicable.” (§ 2-575(a)(4).)</w:t>
      </w:r>
    </w:p>
    <w:p w14:paraId="108E35A0" w14:textId="77777777" w:rsidR="000275AA" w:rsidRPr="00882D54" w:rsidRDefault="00A958F2" w:rsidP="009F37E4">
      <w:pPr>
        <w:pStyle w:val="RSBCSubtitle"/>
        <w:jc w:val="both"/>
      </w:pPr>
      <w:r w:rsidRPr="00882D54">
        <w:t>Meetings of Public Bodies</w:t>
      </w:r>
    </w:p>
    <w:p w14:paraId="74431534" w14:textId="77777777" w:rsidR="000275AA" w:rsidRPr="00882D54" w:rsidRDefault="00A958F2" w:rsidP="009F37E4">
      <w:pPr>
        <w:pStyle w:val="RSBISubtitle"/>
        <w:jc w:val="both"/>
      </w:pPr>
      <w:r w:rsidRPr="00882D54">
        <w:t>Qualifying meetings</w:t>
      </w:r>
    </w:p>
    <w:p w14:paraId="026840FC" w14:textId="4A96FF4B" w:rsidR="000275AA" w:rsidRPr="009641ED" w:rsidRDefault="00A958F2" w:rsidP="009F37E4">
      <w:pPr>
        <w:pStyle w:val="RNSParaNoIndS"/>
        <w:jc w:val="both"/>
        <w:rPr>
          <w:rFonts w:eastAsiaTheme="minorEastAsia"/>
        </w:rPr>
      </w:pPr>
      <w:r w:rsidRPr="009641ED">
        <w:rPr>
          <w:rFonts w:eastAsiaTheme="minorEastAsia"/>
        </w:rPr>
        <w:t xml:space="preserve">For the </w:t>
      </w:r>
      <w:r w:rsidR="00930982" w:rsidRPr="009641ED">
        <w:rPr>
          <w:rFonts w:eastAsiaTheme="minorEastAsia"/>
        </w:rPr>
        <w:t>A</w:t>
      </w:r>
      <w:r w:rsidRPr="009641ED">
        <w:rPr>
          <w:rFonts w:eastAsiaTheme="minorEastAsia"/>
        </w:rPr>
        <w:t xml:space="preserve">ct to apply to a meeting, a quorum of the body must be </w:t>
      </w:r>
      <w:proofErr w:type="gramStart"/>
      <w:r w:rsidRPr="009641ED">
        <w:rPr>
          <w:rFonts w:eastAsiaTheme="minorEastAsia"/>
        </w:rPr>
        <w:t>present</w:t>
      </w:r>
      <w:proofErr w:type="gramEnd"/>
      <w:r w:rsidRPr="009641ED">
        <w:rPr>
          <w:rFonts w:eastAsiaTheme="minorEastAsia"/>
        </w:rPr>
        <w:t xml:space="preserve"> and the members present must be considering, conducting, or advising on public business</w:t>
      </w:r>
      <w:r w:rsidR="00463749">
        <w:rPr>
          <w:rFonts w:eastAsiaTheme="minorEastAsia"/>
        </w:rPr>
        <w:t xml:space="preserve">.  </w:t>
      </w:r>
      <w:r w:rsidRPr="009641ED">
        <w:rPr>
          <w:rFonts w:eastAsiaTheme="minorEastAsia"/>
        </w:rPr>
        <w:t xml:space="preserve">While informal and emergency </w:t>
      </w:r>
      <w:r w:rsidRPr="009641ED">
        <w:rPr>
          <w:rFonts w:eastAsiaTheme="minorEastAsia"/>
        </w:rPr>
        <w:lastRenderedPageBreak/>
        <w:t xml:space="preserve">meetings qualify, a chance meeting, </w:t>
      </w:r>
      <w:r w:rsidR="00CC5A9E">
        <w:rPr>
          <w:rFonts w:eastAsiaTheme="minorEastAsia"/>
        </w:rPr>
        <w:t xml:space="preserve">committee meeting, </w:t>
      </w:r>
      <w:r w:rsidRPr="009641ED">
        <w:rPr>
          <w:rFonts w:eastAsiaTheme="minorEastAsia"/>
        </w:rPr>
        <w:t>social gathering, or press conference, however, does not.  (§ 2-57</w:t>
      </w:r>
      <w:r w:rsidR="00853F2D" w:rsidRPr="009641ED">
        <w:rPr>
          <w:rFonts w:eastAsiaTheme="minorEastAsia"/>
        </w:rPr>
        <w:t>4</w:t>
      </w:r>
      <w:r w:rsidRPr="009641ED">
        <w:rPr>
          <w:rFonts w:eastAsiaTheme="minorEastAsia"/>
        </w:rPr>
        <w:t>(1)</w:t>
      </w:r>
      <w:r w:rsidR="00930982" w:rsidRPr="009641ED">
        <w:rPr>
          <w:rFonts w:eastAsiaTheme="minorEastAsia"/>
        </w:rPr>
        <w:t>.</w:t>
      </w:r>
      <w:r w:rsidRPr="009641ED">
        <w:rPr>
          <w:rFonts w:eastAsiaTheme="minorEastAsia"/>
        </w:rPr>
        <w:t>)</w:t>
      </w:r>
    </w:p>
    <w:p w14:paraId="139D6493" w14:textId="3D84F2F0" w:rsidR="000275AA" w:rsidRPr="009641ED" w:rsidRDefault="00A958F2" w:rsidP="009F37E4">
      <w:pPr>
        <w:pStyle w:val="RNSParaNoIndS"/>
        <w:jc w:val="both"/>
        <w:rPr>
          <w:rFonts w:eastAsiaTheme="minorEastAsia"/>
        </w:rPr>
      </w:pPr>
      <w:r w:rsidRPr="009641ED">
        <w:rPr>
          <w:rFonts w:eastAsiaTheme="minorEastAsia"/>
        </w:rPr>
        <w:t>Meetings are any regular, special, emergency, hearing or roundtable held by a public body</w:t>
      </w:r>
      <w:r w:rsidR="00930982" w:rsidRPr="009641ED">
        <w:rPr>
          <w:rFonts w:eastAsiaTheme="minorEastAsia"/>
        </w:rPr>
        <w:t>.</w:t>
      </w:r>
    </w:p>
    <w:p w14:paraId="55900B3C" w14:textId="1C79433F" w:rsidR="000275AA" w:rsidRPr="009641ED" w:rsidRDefault="00A958F2" w:rsidP="009F37E4">
      <w:pPr>
        <w:pStyle w:val="RNSParaNoIndS"/>
        <w:jc w:val="both"/>
        <w:rPr>
          <w:rFonts w:eastAsiaTheme="minorEastAsia"/>
        </w:rPr>
      </w:pPr>
      <w:r w:rsidRPr="009641ED">
        <w:rPr>
          <w:rFonts w:eastAsiaTheme="minorEastAsia"/>
        </w:rPr>
        <w:t xml:space="preserve">The </w:t>
      </w:r>
      <w:r w:rsidR="00930982" w:rsidRPr="009641ED">
        <w:rPr>
          <w:rFonts w:eastAsiaTheme="minorEastAsia"/>
        </w:rPr>
        <w:t>OMA</w:t>
      </w:r>
      <w:r w:rsidRPr="009641ED">
        <w:rPr>
          <w:rFonts w:eastAsiaTheme="minorEastAsia"/>
        </w:rPr>
        <w:t xml:space="preserve"> covers meetings that take place electronically </w:t>
      </w:r>
      <w:r w:rsidR="00CC5A9E">
        <w:rPr>
          <w:rFonts w:eastAsiaTheme="minorEastAsia"/>
        </w:rPr>
        <w:t xml:space="preserve">(Zoom) </w:t>
      </w:r>
      <w:r w:rsidRPr="009641ED">
        <w:rPr>
          <w:rFonts w:eastAsiaTheme="minorEastAsia"/>
        </w:rPr>
        <w:t>or by telephone</w:t>
      </w:r>
      <w:r w:rsidR="00463749">
        <w:rPr>
          <w:rFonts w:eastAsiaTheme="minorEastAsia"/>
        </w:rPr>
        <w:t xml:space="preserve">.  </w:t>
      </w:r>
      <w:r w:rsidRPr="009641ED">
        <w:rPr>
          <w:rFonts w:eastAsiaTheme="minorEastAsia"/>
        </w:rPr>
        <w:t>(§ 2-57</w:t>
      </w:r>
      <w:r w:rsidR="00853F2D" w:rsidRPr="009641ED">
        <w:rPr>
          <w:rFonts w:eastAsiaTheme="minorEastAsia"/>
        </w:rPr>
        <w:t>4</w:t>
      </w:r>
      <w:r w:rsidRPr="009641ED">
        <w:rPr>
          <w:rFonts w:eastAsiaTheme="minorEastAsia"/>
        </w:rPr>
        <w:t>(1)</w:t>
      </w:r>
      <w:r w:rsidR="00930982" w:rsidRPr="009641ED">
        <w:rPr>
          <w:rFonts w:eastAsiaTheme="minorEastAsia"/>
        </w:rPr>
        <w:t>.</w:t>
      </w:r>
      <w:r w:rsidRPr="009641ED">
        <w:rPr>
          <w:rFonts w:eastAsiaTheme="minorEastAsia"/>
        </w:rPr>
        <w:t xml:space="preserve">) Email exchanges do not constitute a meeting under the Act, but those exchanges often can be obtained for review by members of the public under the D.C. Freedom of Information Act. </w:t>
      </w:r>
    </w:p>
    <w:p w14:paraId="6C892DA0" w14:textId="77777777" w:rsidR="000275AA" w:rsidRPr="00882D54" w:rsidRDefault="00A958F2" w:rsidP="009F37E4">
      <w:pPr>
        <w:pStyle w:val="RSBISubtitle"/>
        <w:jc w:val="both"/>
      </w:pPr>
      <w:r w:rsidRPr="00882D54">
        <w:t>Covered public bodies</w:t>
      </w:r>
    </w:p>
    <w:p w14:paraId="019DBCCA" w14:textId="6698DEF5" w:rsidR="000275AA" w:rsidRPr="009641ED" w:rsidRDefault="00A958F2" w:rsidP="009F37E4">
      <w:pPr>
        <w:pStyle w:val="RNSParaNoIndS"/>
        <w:jc w:val="both"/>
        <w:rPr>
          <w:rFonts w:eastAsiaTheme="minorEastAsia"/>
        </w:rPr>
      </w:pPr>
      <w:r w:rsidRPr="009641ED">
        <w:rPr>
          <w:rFonts w:eastAsiaTheme="minorEastAsia"/>
        </w:rPr>
        <w:t xml:space="preserve">Every government council, board, commission, or similar entity is subject to the </w:t>
      </w:r>
      <w:r w:rsidR="00576504" w:rsidRPr="009641ED">
        <w:rPr>
          <w:rFonts w:eastAsiaTheme="minorEastAsia"/>
        </w:rPr>
        <w:t>OMA</w:t>
      </w:r>
      <w:r w:rsidR="00463749">
        <w:rPr>
          <w:rFonts w:eastAsiaTheme="minorEastAsia"/>
        </w:rPr>
        <w:t xml:space="preserve">.  </w:t>
      </w:r>
      <w:r w:rsidRPr="009641ED">
        <w:rPr>
          <w:rFonts w:eastAsiaTheme="minorEastAsia"/>
        </w:rPr>
        <w:t>(</w:t>
      </w:r>
      <w:bookmarkStart w:id="0" w:name="_Hlk6850473"/>
      <w:r w:rsidRPr="009641ED">
        <w:rPr>
          <w:rFonts w:eastAsiaTheme="minorEastAsia"/>
        </w:rPr>
        <w:t>§</w:t>
      </w:r>
      <w:bookmarkEnd w:id="0"/>
      <w:r w:rsidRPr="009641ED">
        <w:rPr>
          <w:rFonts w:eastAsiaTheme="minorEastAsia"/>
        </w:rPr>
        <w:t xml:space="preserve"> 2-57</w:t>
      </w:r>
      <w:r w:rsidR="00853F2D" w:rsidRPr="009641ED">
        <w:rPr>
          <w:rFonts w:eastAsiaTheme="minorEastAsia"/>
        </w:rPr>
        <w:t>4</w:t>
      </w:r>
      <w:r w:rsidRPr="009641ED">
        <w:rPr>
          <w:rFonts w:eastAsiaTheme="minorEastAsia"/>
        </w:rPr>
        <w:t>(3)</w:t>
      </w:r>
      <w:r w:rsidR="00576504" w:rsidRPr="009641ED">
        <w:rPr>
          <w:rFonts w:eastAsiaTheme="minorEastAsia"/>
        </w:rPr>
        <w:t>.</w:t>
      </w:r>
      <w:r w:rsidRPr="009641ED">
        <w:rPr>
          <w:rFonts w:eastAsiaTheme="minorEastAsia"/>
        </w:rPr>
        <w:t>) While the D.C. Council is a public body</w:t>
      </w:r>
      <w:r w:rsidR="002E29EC" w:rsidRPr="009641ED">
        <w:rPr>
          <w:rFonts w:eastAsiaTheme="minorEastAsia"/>
        </w:rPr>
        <w:t xml:space="preserve"> (§ 2-574(c))</w:t>
      </w:r>
      <w:r w:rsidRPr="009641ED">
        <w:rPr>
          <w:rFonts w:eastAsiaTheme="minorEastAsia"/>
        </w:rPr>
        <w:t>, public access is governed by the Council’s rules</w:t>
      </w:r>
      <w:r w:rsidR="00576504" w:rsidRPr="009641ED">
        <w:rPr>
          <w:rFonts w:eastAsiaTheme="minorEastAsia"/>
        </w:rPr>
        <w:t>, not the OMA</w:t>
      </w:r>
      <w:r w:rsidR="00463749">
        <w:rPr>
          <w:rFonts w:eastAsiaTheme="minorEastAsia"/>
        </w:rPr>
        <w:t xml:space="preserve">.  </w:t>
      </w:r>
      <w:r w:rsidRPr="009641ED">
        <w:rPr>
          <w:rFonts w:eastAsiaTheme="minorEastAsia"/>
        </w:rPr>
        <w:t>(See below.)</w:t>
      </w:r>
    </w:p>
    <w:p w14:paraId="57249EC2" w14:textId="2CD15182" w:rsidR="000275AA" w:rsidRPr="009641ED" w:rsidRDefault="00A958F2" w:rsidP="009F37E4">
      <w:pPr>
        <w:pStyle w:val="RNSParaNoIndS"/>
        <w:jc w:val="both"/>
        <w:rPr>
          <w:rFonts w:eastAsiaTheme="minorEastAsia"/>
        </w:rPr>
      </w:pPr>
      <w:r w:rsidRPr="009641ED">
        <w:rPr>
          <w:rFonts w:eastAsiaTheme="minorEastAsia"/>
        </w:rPr>
        <w:t>Government agency staff meetings are not covered</w:t>
      </w:r>
      <w:r w:rsidR="00463749">
        <w:rPr>
          <w:rFonts w:eastAsiaTheme="minorEastAsia"/>
        </w:rPr>
        <w:t xml:space="preserve">.  </w:t>
      </w:r>
      <w:r w:rsidRPr="009641ED">
        <w:rPr>
          <w:rFonts w:eastAsiaTheme="minorEastAsia"/>
        </w:rPr>
        <w:t>However, if an appointed board or commission supervises a government agency, the board or commission is covered by the Act</w:t>
      </w:r>
      <w:r w:rsidR="00463749">
        <w:rPr>
          <w:rFonts w:eastAsiaTheme="minorEastAsia"/>
        </w:rPr>
        <w:t xml:space="preserve">.  </w:t>
      </w:r>
      <w:r w:rsidRPr="009641ED">
        <w:rPr>
          <w:rFonts w:eastAsiaTheme="minorEastAsia"/>
        </w:rPr>
        <w:t>For example, the Alcoholic Beverage Control Board is covered, but the Alcoholic Beverage Regulatory Administration is not, unless the st</w:t>
      </w:r>
      <w:r w:rsidR="00576504" w:rsidRPr="009641ED">
        <w:rPr>
          <w:rFonts w:eastAsiaTheme="minorEastAsia"/>
        </w:rPr>
        <w:t>aff is meeting with the Board</w:t>
      </w:r>
      <w:r w:rsidR="00463749">
        <w:rPr>
          <w:rFonts w:eastAsiaTheme="minorEastAsia"/>
        </w:rPr>
        <w:t xml:space="preserve">.  </w:t>
      </w:r>
      <w:r w:rsidR="00F9596A">
        <w:rPr>
          <w:rFonts w:eastAsiaTheme="minorEastAsia"/>
        </w:rPr>
        <w:t xml:space="preserve">D.C. Public Schools Local School </w:t>
      </w:r>
      <w:proofErr w:type="spellStart"/>
      <w:r w:rsidR="00F9596A">
        <w:rPr>
          <w:rFonts w:eastAsiaTheme="minorEastAsia"/>
        </w:rPr>
        <w:t>Advjsory</w:t>
      </w:r>
      <w:proofErr w:type="spellEnd"/>
      <w:r w:rsidR="00F9596A">
        <w:rPr>
          <w:rFonts w:eastAsiaTheme="minorEastAsia"/>
        </w:rPr>
        <w:t xml:space="preserve"> Team (LSAT) meetings are covered. </w:t>
      </w:r>
      <w:r w:rsidR="00576504" w:rsidRPr="009641ED">
        <w:rPr>
          <w:rFonts w:eastAsiaTheme="minorEastAsia"/>
        </w:rPr>
        <w:t>Public b</w:t>
      </w:r>
      <w:r w:rsidRPr="009641ED">
        <w:rPr>
          <w:rFonts w:eastAsiaTheme="minorEastAsia"/>
        </w:rPr>
        <w:t xml:space="preserve">odies that are </w:t>
      </w:r>
      <w:r w:rsidRPr="009641ED">
        <w:rPr>
          <w:rFonts w:eastAsiaTheme="minorEastAsia"/>
          <w:i/>
        </w:rPr>
        <w:t>not</w:t>
      </w:r>
      <w:r w:rsidRPr="009641ED">
        <w:rPr>
          <w:rFonts w:eastAsiaTheme="minorEastAsia"/>
        </w:rPr>
        <w:t xml:space="preserve"> covered include (§ 2-573(3)): </w:t>
      </w:r>
    </w:p>
    <w:p w14:paraId="0A38DE30" w14:textId="1719D7AF" w:rsidR="000275AA" w:rsidRPr="009641ED" w:rsidRDefault="00A958F2" w:rsidP="009F37E4">
      <w:pPr>
        <w:pStyle w:val="ListBullet2"/>
        <w:jc w:val="both"/>
        <w:rPr>
          <w:rFonts w:eastAsiaTheme="minorEastAsia"/>
        </w:rPr>
      </w:pPr>
      <w:r w:rsidRPr="009641ED">
        <w:rPr>
          <w:rFonts w:eastAsiaTheme="minorEastAsia"/>
        </w:rPr>
        <w:t>Advisory Neighborhood Commissions (discussed below</w:t>
      </w:r>
      <w:proofErr w:type="gramStart"/>
      <w:r w:rsidRPr="009641ED">
        <w:rPr>
          <w:rFonts w:eastAsiaTheme="minorEastAsia"/>
        </w:rPr>
        <w:t>)</w:t>
      </w:r>
      <w:r w:rsidR="00576504" w:rsidRPr="009641ED">
        <w:rPr>
          <w:rFonts w:eastAsiaTheme="minorEastAsia"/>
        </w:rPr>
        <w:t>;</w:t>
      </w:r>
      <w:proofErr w:type="gramEnd"/>
    </w:p>
    <w:p w14:paraId="091BCCB4" w14:textId="022739AE" w:rsidR="000275AA" w:rsidRPr="00CC5A9E" w:rsidRDefault="00A958F2" w:rsidP="00CC5A9E">
      <w:pPr>
        <w:pStyle w:val="ListBullet2"/>
        <w:jc w:val="both"/>
        <w:rPr>
          <w:rFonts w:eastAsiaTheme="minorEastAsia"/>
        </w:rPr>
      </w:pPr>
      <w:r w:rsidRPr="009641ED">
        <w:rPr>
          <w:rFonts w:eastAsiaTheme="minorEastAsia"/>
        </w:rPr>
        <w:t>D.C. courts</w:t>
      </w:r>
      <w:r w:rsidR="00576504" w:rsidRPr="009641ED">
        <w:rPr>
          <w:rFonts w:eastAsiaTheme="minorEastAsia"/>
        </w:rPr>
        <w:t>;</w:t>
      </w:r>
      <w:r w:rsidR="00CC5A9E">
        <w:rPr>
          <w:rFonts w:eastAsiaTheme="minorEastAsia"/>
        </w:rPr>
        <w:t xml:space="preserve"> </w:t>
      </w:r>
      <w:r w:rsidR="00576504" w:rsidRPr="00CC5A9E">
        <w:rPr>
          <w:rFonts w:eastAsiaTheme="minorEastAsia"/>
        </w:rPr>
        <w:t>and</w:t>
      </w:r>
    </w:p>
    <w:p w14:paraId="0A88BB62" w14:textId="1759A444" w:rsidR="000275AA" w:rsidRPr="009641ED" w:rsidRDefault="00A958F2" w:rsidP="009F37E4">
      <w:pPr>
        <w:pStyle w:val="ListBullet2"/>
        <w:jc w:val="both"/>
        <w:rPr>
          <w:rFonts w:eastAsiaTheme="minorEastAsia"/>
        </w:rPr>
      </w:pPr>
      <w:r w:rsidRPr="009641ED">
        <w:rPr>
          <w:rFonts w:eastAsiaTheme="minorEastAsia"/>
        </w:rPr>
        <w:t>The Mayor’s cabinet</w:t>
      </w:r>
      <w:r w:rsidR="00576504" w:rsidRPr="009641ED">
        <w:rPr>
          <w:rFonts w:eastAsiaTheme="minorEastAsia"/>
        </w:rPr>
        <w:t>.</w:t>
      </w:r>
    </w:p>
    <w:p w14:paraId="41A5B4DC" w14:textId="182C8976" w:rsidR="000275AA" w:rsidRPr="009641ED" w:rsidRDefault="00A958F2" w:rsidP="009F37E4">
      <w:pPr>
        <w:pStyle w:val="RNSParaNoIndS"/>
        <w:jc w:val="both"/>
        <w:rPr>
          <w:rFonts w:eastAsiaTheme="minorEastAsia"/>
        </w:rPr>
      </w:pPr>
      <w:r w:rsidRPr="009641ED">
        <w:rPr>
          <w:rFonts w:eastAsiaTheme="minorEastAsia"/>
        </w:rPr>
        <w:t>The Act sets out requirements for providing public notice and how meetings must be conducted</w:t>
      </w:r>
      <w:r w:rsidR="00463749">
        <w:rPr>
          <w:rFonts w:eastAsiaTheme="minorEastAsia"/>
        </w:rPr>
        <w:t xml:space="preserve">.  </w:t>
      </w:r>
      <w:r w:rsidRPr="009641ED">
        <w:rPr>
          <w:rFonts w:eastAsiaTheme="minorEastAsia"/>
        </w:rPr>
        <w:t>(§§ 2-57</w:t>
      </w:r>
      <w:r w:rsidR="00262D7D" w:rsidRPr="009641ED">
        <w:rPr>
          <w:rFonts w:eastAsiaTheme="minorEastAsia"/>
        </w:rPr>
        <w:t>6</w:t>
      </w:r>
      <w:r w:rsidRPr="009641ED">
        <w:rPr>
          <w:rFonts w:eastAsiaTheme="minorEastAsia"/>
        </w:rPr>
        <w:t xml:space="preserve"> &amp; 57</w:t>
      </w:r>
      <w:r w:rsidR="00262D7D" w:rsidRPr="009641ED">
        <w:rPr>
          <w:rFonts w:eastAsiaTheme="minorEastAsia"/>
        </w:rPr>
        <w:t>7</w:t>
      </w:r>
      <w:r w:rsidR="00576504" w:rsidRPr="009641ED">
        <w:rPr>
          <w:rFonts w:eastAsiaTheme="minorEastAsia"/>
        </w:rPr>
        <w:t>.</w:t>
      </w:r>
      <w:r w:rsidRPr="009641ED">
        <w:rPr>
          <w:rFonts w:eastAsiaTheme="minorEastAsia"/>
        </w:rPr>
        <w:t>)</w:t>
      </w:r>
    </w:p>
    <w:p w14:paraId="0E7DE75F" w14:textId="77777777" w:rsidR="000275AA" w:rsidRPr="009641ED" w:rsidRDefault="00A958F2" w:rsidP="009F37E4">
      <w:pPr>
        <w:pStyle w:val="RSBCSubtitle"/>
        <w:jc w:val="both"/>
        <w:rPr>
          <w:rFonts w:eastAsiaTheme="minorEastAsia"/>
        </w:rPr>
      </w:pPr>
      <w:r w:rsidRPr="009641ED">
        <w:rPr>
          <w:rFonts w:eastAsiaTheme="minorEastAsia"/>
        </w:rPr>
        <w:t>Closed Meetings</w:t>
      </w:r>
    </w:p>
    <w:p w14:paraId="23255334" w14:textId="77777777" w:rsidR="000275AA" w:rsidRPr="009641ED" w:rsidRDefault="00A958F2" w:rsidP="009F37E4">
      <w:pPr>
        <w:pStyle w:val="RSBISubtitle"/>
        <w:jc w:val="both"/>
        <w:rPr>
          <w:rFonts w:eastAsiaTheme="minorEastAsia"/>
        </w:rPr>
      </w:pPr>
      <w:r w:rsidRPr="009641ED">
        <w:rPr>
          <w:rFonts w:eastAsiaTheme="minorEastAsia"/>
        </w:rPr>
        <w:t>When meetings of public bodies can be closed</w:t>
      </w:r>
    </w:p>
    <w:p w14:paraId="104313E9" w14:textId="39F4C3DD" w:rsidR="000275AA" w:rsidRPr="009641ED" w:rsidRDefault="00576504" w:rsidP="009F37E4">
      <w:pPr>
        <w:pStyle w:val="RNSParaNoIndS"/>
        <w:jc w:val="both"/>
        <w:rPr>
          <w:rFonts w:eastAsiaTheme="minorEastAsia"/>
        </w:rPr>
      </w:pPr>
      <w:r w:rsidRPr="009641ED">
        <w:rPr>
          <w:rFonts w:eastAsiaTheme="minorEastAsia"/>
        </w:rPr>
        <w:t>A meeting or part of a meeting</w:t>
      </w:r>
      <w:r w:rsidR="00A958F2" w:rsidRPr="009641ED">
        <w:rPr>
          <w:rFonts w:eastAsiaTheme="minorEastAsia"/>
        </w:rPr>
        <w:t xml:space="preserve"> can be closed whenever a law or court order requires it, or whenever the purpose of the meeting is</w:t>
      </w:r>
      <w:r w:rsidRPr="009641ED">
        <w:rPr>
          <w:rFonts w:eastAsiaTheme="minorEastAsia"/>
        </w:rPr>
        <w:t xml:space="preserve"> one of the following</w:t>
      </w:r>
      <w:r w:rsidR="00A958F2" w:rsidRPr="009641ED">
        <w:rPr>
          <w:rFonts w:eastAsiaTheme="minorEastAsia"/>
        </w:rPr>
        <w:t xml:space="preserve"> </w:t>
      </w:r>
      <w:r w:rsidRPr="009641ED">
        <w:rPr>
          <w:rFonts w:eastAsiaTheme="minorEastAsia"/>
        </w:rPr>
        <w:t>(§ 2-27</w:t>
      </w:r>
      <w:r w:rsidR="00853F2D" w:rsidRPr="009641ED">
        <w:rPr>
          <w:rFonts w:eastAsiaTheme="minorEastAsia"/>
        </w:rPr>
        <w:t>5</w:t>
      </w:r>
      <w:r w:rsidRPr="009641ED">
        <w:rPr>
          <w:rFonts w:eastAsiaTheme="minorEastAsia"/>
        </w:rPr>
        <w:t>(b)):</w:t>
      </w:r>
    </w:p>
    <w:p w14:paraId="02F8CE25" w14:textId="77777777" w:rsidR="000275AA" w:rsidRPr="009641ED" w:rsidRDefault="00A958F2" w:rsidP="009F37E4">
      <w:pPr>
        <w:pStyle w:val="ListBullet2"/>
        <w:jc w:val="both"/>
        <w:rPr>
          <w:rFonts w:eastAsiaTheme="minorEastAsia"/>
        </w:rPr>
      </w:pPr>
      <w:r w:rsidRPr="009641ED">
        <w:rPr>
          <w:rFonts w:eastAsiaTheme="minorEastAsia"/>
        </w:rPr>
        <w:t xml:space="preserve">To discuss with staff or negotiating agents matters related to a </w:t>
      </w:r>
      <w:r w:rsidRPr="009641ED">
        <w:rPr>
          <w:rFonts w:eastAsiaTheme="minorEastAsia"/>
          <w:b/>
          <w:bCs/>
        </w:rPr>
        <w:t>contract negotiation</w:t>
      </w:r>
      <w:r w:rsidRPr="009641ED">
        <w:rPr>
          <w:rFonts w:eastAsiaTheme="minorEastAsia"/>
        </w:rPr>
        <w:t>, but only if an open meeting would adversely affect the public body’s bargaining position.</w:t>
      </w:r>
    </w:p>
    <w:p w14:paraId="1E091A9D" w14:textId="0843DA70" w:rsidR="000275AA" w:rsidRPr="009641ED" w:rsidRDefault="00A958F2" w:rsidP="009F37E4">
      <w:pPr>
        <w:pStyle w:val="ListBullet2"/>
        <w:jc w:val="both"/>
        <w:rPr>
          <w:rFonts w:eastAsiaTheme="minorEastAsia"/>
        </w:rPr>
      </w:pPr>
      <w:r w:rsidRPr="009641ED">
        <w:rPr>
          <w:rFonts w:eastAsiaTheme="minorEastAsia"/>
        </w:rPr>
        <w:t xml:space="preserve">To discuss with staff or negotiating agents matters related to </w:t>
      </w:r>
      <w:r w:rsidRPr="009641ED">
        <w:rPr>
          <w:rFonts w:eastAsiaTheme="minorEastAsia"/>
          <w:b/>
          <w:bCs/>
        </w:rPr>
        <w:t>negotiating incentives for businesses</w:t>
      </w:r>
      <w:r w:rsidRPr="009641ED">
        <w:rPr>
          <w:rFonts w:eastAsiaTheme="minorEastAsia"/>
        </w:rPr>
        <w:t xml:space="preserve"> or industries to encourage them to locate or expand in </w:t>
      </w:r>
      <w:r w:rsidR="00576504" w:rsidRPr="009641ED">
        <w:rPr>
          <w:rFonts w:eastAsiaTheme="minorEastAsia"/>
        </w:rPr>
        <w:t>D.C</w:t>
      </w:r>
      <w:r w:rsidRPr="009641ED">
        <w:rPr>
          <w:rFonts w:eastAsiaTheme="minorEastAsia"/>
        </w:rPr>
        <w:t xml:space="preserve">. </w:t>
      </w:r>
    </w:p>
    <w:p w14:paraId="5E4EC337" w14:textId="18BC2AD9" w:rsidR="000275AA" w:rsidRPr="009641ED" w:rsidRDefault="00A958F2" w:rsidP="009F37E4">
      <w:pPr>
        <w:pStyle w:val="ListBullet2"/>
        <w:jc w:val="both"/>
        <w:rPr>
          <w:rFonts w:eastAsiaTheme="minorEastAsia"/>
        </w:rPr>
      </w:pPr>
      <w:r w:rsidRPr="009641ED">
        <w:rPr>
          <w:rFonts w:eastAsiaTheme="minorEastAsia"/>
        </w:rPr>
        <w:t xml:space="preserve">To obtain </w:t>
      </w:r>
      <w:r w:rsidRPr="009641ED">
        <w:rPr>
          <w:rFonts w:eastAsiaTheme="minorEastAsia"/>
          <w:b/>
          <w:bCs/>
        </w:rPr>
        <w:t>legal advice from an attorney</w:t>
      </w:r>
      <w:r w:rsidR="00463749">
        <w:rPr>
          <w:rFonts w:eastAsiaTheme="minorEastAsia"/>
        </w:rPr>
        <w:t xml:space="preserve">.  </w:t>
      </w:r>
      <w:r w:rsidR="00576504" w:rsidRPr="009641ED">
        <w:rPr>
          <w:rFonts w:eastAsiaTheme="minorEastAsia"/>
        </w:rPr>
        <w:t>However, t</w:t>
      </w:r>
      <w:r w:rsidRPr="009641ED">
        <w:rPr>
          <w:rFonts w:eastAsiaTheme="minorEastAsia"/>
        </w:rPr>
        <w:t>he mere prese</w:t>
      </w:r>
      <w:r w:rsidR="00576504" w:rsidRPr="009641ED">
        <w:rPr>
          <w:rFonts w:eastAsiaTheme="minorEastAsia"/>
        </w:rPr>
        <w:t>nce of an attorney at a meeting</w:t>
      </w:r>
      <w:r w:rsidRPr="009641ED">
        <w:rPr>
          <w:rFonts w:eastAsiaTheme="minorEastAsia"/>
        </w:rPr>
        <w:t xml:space="preserve"> is not a ground for closure. </w:t>
      </w:r>
    </w:p>
    <w:p w14:paraId="0EA3FF15" w14:textId="77777777" w:rsidR="000275AA" w:rsidRPr="009641ED" w:rsidRDefault="00A958F2" w:rsidP="009F37E4">
      <w:pPr>
        <w:pStyle w:val="ListBullet2"/>
        <w:jc w:val="both"/>
        <w:rPr>
          <w:rFonts w:eastAsiaTheme="minorEastAsia"/>
        </w:rPr>
      </w:pPr>
      <w:r w:rsidRPr="009641ED">
        <w:rPr>
          <w:rFonts w:eastAsiaTheme="minorEastAsia"/>
        </w:rPr>
        <w:t xml:space="preserve">Planning, discussing, or conducting specific </w:t>
      </w:r>
      <w:r w:rsidRPr="009641ED">
        <w:rPr>
          <w:rFonts w:eastAsiaTheme="minorEastAsia"/>
          <w:b/>
          <w:bCs/>
        </w:rPr>
        <w:t>collective bargaining negotiations</w:t>
      </w:r>
      <w:r w:rsidRPr="009641ED">
        <w:rPr>
          <w:rFonts w:eastAsiaTheme="minorEastAsia"/>
        </w:rPr>
        <w:t>.</w:t>
      </w:r>
    </w:p>
    <w:p w14:paraId="447D83E6" w14:textId="77777777" w:rsidR="000275AA" w:rsidRPr="009641ED" w:rsidRDefault="00A958F2" w:rsidP="009F37E4">
      <w:pPr>
        <w:pStyle w:val="ListBullet2"/>
        <w:jc w:val="both"/>
        <w:rPr>
          <w:rFonts w:eastAsiaTheme="minorEastAsia"/>
        </w:rPr>
      </w:pPr>
      <w:r w:rsidRPr="009641ED">
        <w:rPr>
          <w:rFonts w:eastAsiaTheme="minorEastAsia"/>
        </w:rPr>
        <w:lastRenderedPageBreak/>
        <w:t xml:space="preserve">Preparation, administration, or grading of scholastic, licensing, or qualifying </w:t>
      </w:r>
      <w:r w:rsidRPr="009641ED">
        <w:rPr>
          <w:rFonts w:eastAsiaTheme="minorEastAsia"/>
          <w:b/>
          <w:bCs/>
        </w:rPr>
        <w:t>examinations</w:t>
      </w:r>
      <w:r w:rsidRPr="009641ED">
        <w:rPr>
          <w:rFonts w:eastAsiaTheme="minorEastAsia"/>
        </w:rPr>
        <w:t xml:space="preserve">. </w:t>
      </w:r>
    </w:p>
    <w:p w14:paraId="1E39DC08" w14:textId="717CAA6D" w:rsidR="000275AA" w:rsidRPr="009641ED" w:rsidRDefault="00A958F2" w:rsidP="009F37E4">
      <w:pPr>
        <w:pStyle w:val="ListBullet2"/>
        <w:jc w:val="both"/>
        <w:rPr>
          <w:rFonts w:eastAsiaTheme="minorEastAsia"/>
        </w:rPr>
      </w:pPr>
      <w:r w:rsidRPr="009641ED">
        <w:rPr>
          <w:rFonts w:eastAsiaTheme="minorEastAsia"/>
        </w:rPr>
        <w:t xml:space="preserve">To prevent </w:t>
      </w:r>
      <w:r w:rsidRPr="009641ED">
        <w:rPr>
          <w:rFonts w:eastAsiaTheme="minorEastAsia"/>
          <w:b/>
          <w:bCs/>
        </w:rPr>
        <w:t>premature disclosure of</w:t>
      </w:r>
      <w:r w:rsidRPr="009641ED">
        <w:rPr>
          <w:rFonts w:eastAsiaTheme="minorEastAsia"/>
        </w:rPr>
        <w:t xml:space="preserve"> an honorary degree, scholarship, prize</w:t>
      </w:r>
      <w:r w:rsidR="00576504" w:rsidRPr="009641ED">
        <w:rPr>
          <w:rFonts w:eastAsiaTheme="minorEastAsia"/>
        </w:rPr>
        <w:t>,</w:t>
      </w:r>
      <w:r w:rsidRPr="009641ED">
        <w:rPr>
          <w:rFonts w:eastAsiaTheme="minorEastAsia"/>
        </w:rPr>
        <w:t xml:space="preserve"> or similar </w:t>
      </w:r>
      <w:r w:rsidRPr="009641ED">
        <w:rPr>
          <w:rFonts w:eastAsiaTheme="minorEastAsia"/>
          <w:b/>
          <w:bCs/>
        </w:rPr>
        <w:t>award</w:t>
      </w:r>
      <w:r w:rsidRPr="009641ED">
        <w:rPr>
          <w:rFonts w:eastAsiaTheme="minorEastAsia"/>
        </w:rPr>
        <w:t>.</w:t>
      </w:r>
    </w:p>
    <w:p w14:paraId="2CBAF1B4" w14:textId="11F7B98B" w:rsidR="000275AA" w:rsidRPr="009641ED" w:rsidRDefault="00A958F2" w:rsidP="009F37E4">
      <w:pPr>
        <w:pStyle w:val="ListBullet2"/>
        <w:jc w:val="both"/>
        <w:rPr>
          <w:rFonts w:eastAsiaTheme="minorEastAsia"/>
        </w:rPr>
      </w:pPr>
      <w:r w:rsidRPr="009641ED">
        <w:rPr>
          <w:rFonts w:eastAsiaTheme="minorEastAsia"/>
        </w:rPr>
        <w:t xml:space="preserve">To discuss, </w:t>
      </w:r>
      <w:proofErr w:type="gramStart"/>
      <w:r w:rsidRPr="009641ED">
        <w:rPr>
          <w:rFonts w:eastAsiaTheme="minorEastAsia"/>
        </w:rPr>
        <w:t>take action</w:t>
      </w:r>
      <w:proofErr w:type="gramEnd"/>
      <w:r w:rsidRPr="009641ED">
        <w:rPr>
          <w:rFonts w:eastAsiaTheme="minorEastAsia"/>
        </w:rPr>
        <w:t xml:space="preserve">, or receive briefings about potential terrorist activities or other </w:t>
      </w:r>
      <w:r w:rsidRPr="009641ED">
        <w:rPr>
          <w:rFonts w:eastAsiaTheme="minorEastAsia"/>
          <w:b/>
          <w:bCs/>
        </w:rPr>
        <w:t>substantial dangers to public health and safety</w:t>
      </w:r>
      <w:r w:rsidRPr="009641ED">
        <w:rPr>
          <w:rFonts w:eastAsiaTheme="minorEastAsia"/>
        </w:rPr>
        <w:t xml:space="preserve">, but only </w:t>
      </w:r>
      <w:r w:rsidRPr="009641ED">
        <w:rPr>
          <w:rFonts w:eastAsiaTheme="minorEastAsia"/>
          <w:bCs/>
        </w:rPr>
        <w:t>if disclosure of this information would endanger the public</w:t>
      </w:r>
      <w:r w:rsidR="00463749">
        <w:rPr>
          <w:rFonts w:eastAsiaTheme="minorEastAsia"/>
        </w:rPr>
        <w:t xml:space="preserve">.  </w:t>
      </w:r>
      <w:r w:rsidRPr="009641ED">
        <w:rPr>
          <w:rFonts w:eastAsiaTheme="minorEastAsia"/>
        </w:rPr>
        <w:t>If a meeting is closed for this reason, a record of the closed session must be made public when doing so would not endanger the public.</w:t>
      </w:r>
    </w:p>
    <w:p w14:paraId="1AD75538" w14:textId="77777777" w:rsidR="000275AA" w:rsidRPr="009641ED" w:rsidRDefault="00A958F2" w:rsidP="009F37E4">
      <w:pPr>
        <w:pStyle w:val="ListBullet2"/>
        <w:jc w:val="both"/>
        <w:rPr>
          <w:rFonts w:eastAsiaTheme="minorEastAsia"/>
        </w:rPr>
      </w:pPr>
      <w:r w:rsidRPr="009641ED">
        <w:rPr>
          <w:rFonts w:eastAsiaTheme="minorEastAsia"/>
        </w:rPr>
        <w:t xml:space="preserve">To discuss </w:t>
      </w:r>
      <w:r w:rsidRPr="009641ED">
        <w:rPr>
          <w:rFonts w:eastAsiaTheme="minorEastAsia"/>
          <w:b/>
          <w:bCs/>
        </w:rPr>
        <w:t>disciplinary matters affecting government employees</w:t>
      </w:r>
      <w:r w:rsidRPr="009641ED">
        <w:rPr>
          <w:rFonts w:eastAsiaTheme="minorEastAsia"/>
        </w:rPr>
        <w:t>.</w:t>
      </w:r>
    </w:p>
    <w:p w14:paraId="51ECFC1E" w14:textId="77777777" w:rsidR="000275AA" w:rsidRPr="009641ED" w:rsidRDefault="00A958F2" w:rsidP="009F37E4">
      <w:pPr>
        <w:pStyle w:val="ListBullet2"/>
        <w:jc w:val="both"/>
        <w:rPr>
          <w:rFonts w:eastAsiaTheme="minorEastAsia"/>
        </w:rPr>
      </w:pPr>
      <w:r w:rsidRPr="009641ED">
        <w:rPr>
          <w:rFonts w:eastAsiaTheme="minorEastAsia"/>
        </w:rPr>
        <w:t xml:space="preserve">To discuss matters relating to the </w:t>
      </w:r>
      <w:r w:rsidRPr="009641ED">
        <w:rPr>
          <w:rFonts w:eastAsiaTheme="minorEastAsia"/>
          <w:b/>
          <w:bCs/>
        </w:rPr>
        <w:t>employment</w:t>
      </w:r>
      <w:r w:rsidRPr="009641ED">
        <w:rPr>
          <w:rFonts w:eastAsiaTheme="minorEastAsia"/>
        </w:rPr>
        <w:t xml:space="preserve"> of government employees, appointees, or officials.</w:t>
      </w:r>
    </w:p>
    <w:p w14:paraId="0B90DC46" w14:textId="77777777" w:rsidR="000275AA" w:rsidRPr="009641ED" w:rsidRDefault="00A958F2" w:rsidP="009F37E4">
      <w:pPr>
        <w:pStyle w:val="ListBullet2"/>
        <w:jc w:val="both"/>
        <w:rPr>
          <w:rFonts w:eastAsiaTheme="minorEastAsia"/>
        </w:rPr>
      </w:pPr>
      <w:r w:rsidRPr="009641ED">
        <w:rPr>
          <w:rFonts w:eastAsiaTheme="minorEastAsia"/>
        </w:rPr>
        <w:t xml:space="preserve">To discuss </w:t>
      </w:r>
      <w:r w:rsidRPr="009641ED">
        <w:rPr>
          <w:rFonts w:eastAsiaTheme="minorEastAsia"/>
          <w:b/>
        </w:rPr>
        <w:t>trade secrets and commercial or financial information</w:t>
      </w:r>
      <w:r w:rsidRPr="009641ED">
        <w:rPr>
          <w:rFonts w:eastAsiaTheme="minorEastAsia"/>
        </w:rPr>
        <w:t xml:space="preserve"> obtained from outside the government, but only if disclosure would substantially harm the competitive position of the information’s owner.</w:t>
      </w:r>
    </w:p>
    <w:p w14:paraId="4F5F26F2" w14:textId="77777777" w:rsidR="000275AA" w:rsidRPr="009641ED" w:rsidRDefault="00A958F2" w:rsidP="009F37E4">
      <w:pPr>
        <w:pStyle w:val="ListBullet2"/>
        <w:jc w:val="both"/>
        <w:rPr>
          <w:rFonts w:eastAsiaTheme="minorEastAsia"/>
        </w:rPr>
      </w:pPr>
      <w:r w:rsidRPr="009641ED">
        <w:rPr>
          <w:rFonts w:eastAsiaTheme="minorEastAsia"/>
        </w:rPr>
        <w:t xml:space="preserve">To </w:t>
      </w:r>
      <w:r w:rsidRPr="009641ED">
        <w:rPr>
          <w:rFonts w:eastAsiaTheme="minorEastAsia"/>
          <w:b/>
        </w:rPr>
        <w:t>train</w:t>
      </w:r>
      <w:r w:rsidRPr="009641ED">
        <w:rPr>
          <w:rFonts w:eastAsiaTheme="minorEastAsia"/>
        </w:rPr>
        <w:t xml:space="preserve"> and develop members of a public body and staff.</w:t>
      </w:r>
    </w:p>
    <w:p w14:paraId="1065F0A0" w14:textId="77777777" w:rsidR="000275AA" w:rsidRPr="009641ED" w:rsidRDefault="00A958F2" w:rsidP="009F37E4">
      <w:pPr>
        <w:pStyle w:val="ListBullet2"/>
        <w:jc w:val="both"/>
        <w:rPr>
          <w:rFonts w:eastAsiaTheme="minorEastAsia"/>
        </w:rPr>
      </w:pPr>
      <w:r w:rsidRPr="009641ED">
        <w:rPr>
          <w:rFonts w:eastAsiaTheme="minorEastAsia"/>
        </w:rPr>
        <w:t xml:space="preserve">To deliberate upon a decision in an </w:t>
      </w:r>
      <w:r w:rsidRPr="009641ED">
        <w:rPr>
          <w:rFonts w:eastAsiaTheme="minorEastAsia"/>
          <w:b/>
        </w:rPr>
        <w:t>adjudication action</w:t>
      </w:r>
      <w:r w:rsidRPr="009641ED">
        <w:rPr>
          <w:rFonts w:eastAsiaTheme="minorEastAsia"/>
        </w:rPr>
        <w:t xml:space="preserve"> or proceeding, but only if the public body has quasi-judicial functions.</w:t>
      </w:r>
    </w:p>
    <w:p w14:paraId="31CCF461" w14:textId="77777777" w:rsidR="000275AA" w:rsidRPr="009641ED" w:rsidRDefault="00A958F2" w:rsidP="009F37E4">
      <w:pPr>
        <w:pStyle w:val="ListBullet2"/>
        <w:jc w:val="both"/>
        <w:rPr>
          <w:rFonts w:eastAsiaTheme="minorEastAsia"/>
          <w:b/>
          <w:bCs/>
          <w:i/>
          <w:iCs/>
        </w:rPr>
      </w:pPr>
      <w:r w:rsidRPr="009641ED">
        <w:rPr>
          <w:rFonts w:eastAsiaTheme="minorEastAsia"/>
        </w:rPr>
        <w:t xml:space="preserve">To discuss or hear about an </w:t>
      </w:r>
      <w:r w:rsidRPr="009641ED">
        <w:rPr>
          <w:rFonts w:eastAsiaTheme="minorEastAsia"/>
          <w:b/>
        </w:rPr>
        <w:t>investigation</w:t>
      </w:r>
      <w:r w:rsidRPr="009641ED">
        <w:rPr>
          <w:rFonts w:eastAsiaTheme="minorEastAsia"/>
        </w:rPr>
        <w:t xml:space="preserve"> of alleged criminal or civil misconduct, but only if disclosure would harm an ongoing investigation.</w:t>
      </w:r>
    </w:p>
    <w:p w14:paraId="04FDEF9A" w14:textId="003211C7" w:rsidR="000275AA" w:rsidRPr="009641ED" w:rsidRDefault="00A958F2" w:rsidP="009F37E4">
      <w:pPr>
        <w:pStyle w:val="RNSParaNoIndS"/>
        <w:jc w:val="both"/>
        <w:rPr>
          <w:rFonts w:eastAsiaTheme="minorEastAsia"/>
        </w:rPr>
      </w:pPr>
      <w:r w:rsidRPr="009641ED">
        <w:rPr>
          <w:rFonts w:eastAsiaTheme="minorEastAsia"/>
        </w:rPr>
        <w:t>When a meeting is closed for a specific reason, no other matters may be discussed during the closed session</w:t>
      </w:r>
      <w:r w:rsidR="00463749">
        <w:rPr>
          <w:rFonts w:eastAsiaTheme="minorEastAsia"/>
        </w:rPr>
        <w:t xml:space="preserve">.  </w:t>
      </w:r>
      <w:r w:rsidRPr="009641ED">
        <w:rPr>
          <w:rFonts w:eastAsiaTheme="minorEastAsia"/>
        </w:rPr>
        <w:t>(§ 2-27</w:t>
      </w:r>
      <w:r w:rsidR="00853F2D" w:rsidRPr="009641ED">
        <w:rPr>
          <w:rFonts w:eastAsiaTheme="minorEastAsia"/>
        </w:rPr>
        <w:t>5</w:t>
      </w:r>
      <w:r w:rsidRPr="009641ED">
        <w:rPr>
          <w:rFonts w:eastAsiaTheme="minorEastAsia"/>
        </w:rPr>
        <w:t>(d)</w:t>
      </w:r>
      <w:r w:rsidR="00567AD1" w:rsidRPr="009641ED">
        <w:rPr>
          <w:rFonts w:eastAsiaTheme="minorEastAsia"/>
        </w:rPr>
        <w:t>.</w:t>
      </w:r>
      <w:r w:rsidRPr="009641ED">
        <w:rPr>
          <w:rFonts w:eastAsiaTheme="minorEastAsia"/>
        </w:rPr>
        <w:t>)</w:t>
      </w:r>
    </w:p>
    <w:p w14:paraId="7E87FB3C" w14:textId="77777777" w:rsidR="000275AA" w:rsidRPr="009641ED" w:rsidRDefault="00A958F2" w:rsidP="009F37E4">
      <w:pPr>
        <w:pStyle w:val="RSBISubtitle"/>
        <w:jc w:val="both"/>
        <w:rPr>
          <w:rFonts w:eastAsiaTheme="minorEastAsia"/>
        </w:rPr>
      </w:pPr>
      <w:r w:rsidRPr="009641ED">
        <w:rPr>
          <w:rFonts w:eastAsiaTheme="minorEastAsia"/>
        </w:rPr>
        <w:t>Procedures for Closing a Meeting</w:t>
      </w:r>
    </w:p>
    <w:p w14:paraId="39B6F4D1" w14:textId="162D105E" w:rsidR="000275AA" w:rsidRPr="009641ED" w:rsidRDefault="00A958F2" w:rsidP="009F37E4">
      <w:pPr>
        <w:pStyle w:val="RNSParaNoIndS"/>
        <w:jc w:val="both"/>
        <w:rPr>
          <w:rFonts w:eastAsiaTheme="minorEastAsia"/>
        </w:rPr>
      </w:pPr>
      <w:r w:rsidRPr="009641ED">
        <w:rPr>
          <w:rFonts w:eastAsiaTheme="minorEastAsia"/>
        </w:rPr>
        <w:t>Before closing a meeting for any reason, the public body must meet in a public session, and a majority must vote in favor of closure</w:t>
      </w:r>
      <w:r w:rsidR="00463749">
        <w:rPr>
          <w:rFonts w:eastAsiaTheme="minorEastAsia"/>
        </w:rPr>
        <w:t xml:space="preserve">.  </w:t>
      </w:r>
      <w:r w:rsidRPr="009641ED">
        <w:rPr>
          <w:rFonts w:eastAsiaTheme="minorEastAsia"/>
        </w:rPr>
        <w:t xml:space="preserve">The subject to be discussed, reasons for closure, and results of the vote to close the meeting must be announced and made public </w:t>
      </w:r>
      <w:r w:rsidRPr="009641ED">
        <w:rPr>
          <w:rFonts w:eastAsiaTheme="minorEastAsia"/>
          <w:i/>
          <w:iCs/>
        </w:rPr>
        <w:t>before</w:t>
      </w:r>
      <w:r w:rsidRPr="009641ED">
        <w:rPr>
          <w:rFonts w:eastAsiaTheme="minorEastAsia"/>
        </w:rPr>
        <w:t xml:space="preserve"> the closed meeting begins</w:t>
      </w:r>
      <w:r w:rsidR="00463749">
        <w:rPr>
          <w:rFonts w:eastAsiaTheme="minorEastAsia"/>
        </w:rPr>
        <w:t xml:space="preserve">.  </w:t>
      </w:r>
      <w:r w:rsidRPr="009641ED">
        <w:rPr>
          <w:rFonts w:eastAsiaTheme="minorEastAsia"/>
        </w:rPr>
        <w:t>(§ 2-27</w:t>
      </w:r>
      <w:r w:rsidR="00262D7D" w:rsidRPr="009641ED">
        <w:rPr>
          <w:rFonts w:eastAsiaTheme="minorEastAsia"/>
        </w:rPr>
        <w:t>5</w:t>
      </w:r>
      <w:r w:rsidRPr="009641ED">
        <w:rPr>
          <w:rFonts w:eastAsiaTheme="minorEastAsia"/>
        </w:rPr>
        <w:t>(c)</w:t>
      </w:r>
      <w:r w:rsidR="00567AD1" w:rsidRPr="009641ED">
        <w:rPr>
          <w:rFonts w:eastAsiaTheme="minorEastAsia"/>
        </w:rPr>
        <w:t>.</w:t>
      </w:r>
      <w:r w:rsidRPr="009641ED">
        <w:rPr>
          <w:rFonts w:eastAsiaTheme="minorEastAsia"/>
        </w:rPr>
        <w:t>) If the public body takes a vote</w:t>
      </w:r>
      <w:r w:rsidR="00567AD1" w:rsidRPr="009641ED">
        <w:rPr>
          <w:rFonts w:eastAsiaTheme="minorEastAsia"/>
        </w:rPr>
        <w:t xml:space="preserve"> or </w:t>
      </w:r>
      <w:r w:rsidRPr="009641ED">
        <w:rPr>
          <w:rFonts w:eastAsiaTheme="minorEastAsia"/>
        </w:rPr>
        <w:t xml:space="preserve">makes final determinations during a closed session, the public body must immediately reconvene in public session and read onto the public record the roll call vote and the final action – subject to any </w:t>
      </w:r>
      <w:r w:rsidR="00567AD1" w:rsidRPr="009641ED">
        <w:rPr>
          <w:rFonts w:eastAsiaTheme="minorEastAsia"/>
        </w:rPr>
        <w:t xml:space="preserve">OMA </w:t>
      </w:r>
      <w:r w:rsidRPr="009641ED">
        <w:rPr>
          <w:rFonts w:eastAsiaTheme="minorEastAsia"/>
        </w:rPr>
        <w:t>exceptions.</w:t>
      </w:r>
    </w:p>
    <w:p w14:paraId="78546D8A" w14:textId="0DC65D45" w:rsidR="000275AA" w:rsidRPr="009641ED" w:rsidRDefault="00A958F2" w:rsidP="009F37E4">
      <w:pPr>
        <w:pStyle w:val="RSBISubtitle"/>
        <w:jc w:val="both"/>
        <w:rPr>
          <w:rFonts w:eastAsiaTheme="minorEastAsia"/>
        </w:rPr>
      </w:pPr>
      <w:r w:rsidRPr="009641ED">
        <w:rPr>
          <w:rFonts w:eastAsiaTheme="minorEastAsia"/>
        </w:rPr>
        <w:lastRenderedPageBreak/>
        <w:t>Gaining access to records of past meetings</w:t>
      </w:r>
    </w:p>
    <w:p w14:paraId="16CC5ABA" w14:textId="0B63E27B" w:rsidR="000275AA" w:rsidRPr="009641ED" w:rsidRDefault="00A958F2" w:rsidP="009F37E4">
      <w:pPr>
        <w:pStyle w:val="RNSParaNoIndS"/>
        <w:jc w:val="both"/>
        <w:rPr>
          <w:rFonts w:eastAsiaTheme="minorEastAsia"/>
        </w:rPr>
      </w:pPr>
      <w:r w:rsidRPr="009641ED">
        <w:rPr>
          <w:rFonts w:eastAsiaTheme="minorEastAsia"/>
        </w:rPr>
        <w:t>Where feasible, all public meetings must be recorded</w:t>
      </w:r>
      <w:r w:rsidR="00567AD1" w:rsidRPr="009641ED">
        <w:rPr>
          <w:rFonts w:eastAsiaTheme="minorEastAsia"/>
        </w:rPr>
        <w:footnoteReference w:customMarkFollows="1" w:id="2"/>
        <w:t>*</w:t>
      </w:r>
      <w:r w:rsidRPr="009641ED">
        <w:rPr>
          <w:rFonts w:eastAsiaTheme="minorEastAsia"/>
        </w:rPr>
        <w:t xml:space="preserve"> and, where not feasible, detailed minutes must be kept</w:t>
      </w:r>
      <w:r w:rsidR="00463749">
        <w:rPr>
          <w:rFonts w:eastAsiaTheme="minorEastAsia"/>
        </w:rPr>
        <w:t xml:space="preserve">.  </w:t>
      </w:r>
      <w:r w:rsidRPr="009641ED">
        <w:rPr>
          <w:rFonts w:eastAsiaTheme="minorEastAsia"/>
        </w:rPr>
        <w:t>Meeting minutes must be publicly available within three days of the meeting, and the full record must be available within seven days of the meeting.  (§ 2-57</w:t>
      </w:r>
      <w:r w:rsidR="00262D7D" w:rsidRPr="009641ED">
        <w:rPr>
          <w:rFonts w:eastAsiaTheme="minorEastAsia"/>
        </w:rPr>
        <w:t>8</w:t>
      </w:r>
      <w:r w:rsidR="00567AD1" w:rsidRPr="009641ED">
        <w:rPr>
          <w:rFonts w:eastAsiaTheme="minorEastAsia"/>
        </w:rPr>
        <w:t>.</w:t>
      </w:r>
      <w:r w:rsidRPr="009641ED">
        <w:rPr>
          <w:rFonts w:eastAsiaTheme="minorEastAsia"/>
        </w:rPr>
        <w:t xml:space="preserve">)  </w:t>
      </w:r>
    </w:p>
    <w:p w14:paraId="023905A0" w14:textId="6420F246" w:rsidR="000275AA" w:rsidRPr="009641ED" w:rsidRDefault="00A958F2" w:rsidP="009F37E4">
      <w:pPr>
        <w:pStyle w:val="RSBISubtitle"/>
        <w:jc w:val="both"/>
        <w:rPr>
          <w:rFonts w:eastAsiaTheme="minorEastAsia"/>
        </w:rPr>
      </w:pPr>
      <w:r w:rsidRPr="009641ED">
        <w:rPr>
          <w:rFonts w:eastAsiaTheme="minorEastAsia"/>
        </w:rPr>
        <w:t xml:space="preserve">Proper notice of meetings </w:t>
      </w:r>
    </w:p>
    <w:p w14:paraId="79EB7F04" w14:textId="79149FAD" w:rsidR="000275AA" w:rsidRPr="009641ED" w:rsidRDefault="00A958F2" w:rsidP="009F37E4">
      <w:pPr>
        <w:pStyle w:val="RNSParaNoIndS"/>
        <w:jc w:val="both"/>
        <w:rPr>
          <w:rFonts w:eastAsiaTheme="minorEastAsia"/>
        </w:rPr>
      </w:pPr>
      <w:r w:rsidRPr="009641ED">
        <w:rPr>
          <w:rFonts w:eastAsiaTheme="minorEastAsia"/>
        </w:rPr>
        <w:t>Public bodies must provide a minimum of 48 hours or 2 business days notice, whichever is greater, of any upcoming meeting</w:t>
      </w:r>
      <w:r w:rsidR="00463749">
        <w:rPr>
          <w:rFonts w:eastAsiaTheme="minorEastAsia"/>
        </w:rPr>
        <w:t xml:space="preserve">.  </w:t>
      </w:r>
      <w:r w:rsidRPr="009641ED">
        <w:rPr>
          <w:rFonts w:eastAsiaTheme="minorEastAsia"/>
        </w:rPr>
        <w:t xml:space="preserve">Notice of a meeting must be a physical posting at the location in which the meeting will occur; must be posted on the </w:t>
      </w:r>
      <w:r w:rsidR="00567AD1" w:rsidRPr="009641ED">
        <w:rPr>
          <w:rFonts w:eastAsiaTheme="minorEastAsia"/>
        </w:rPr>
        <w:t xml:space="preserve">public body’s </w:t>
      </w:r>
      <w:r w:rsidRPr="009641ED">
        <w:rPr>
          <w:rFonts w:eastAsiaTheme="minorEastAsia"/>
        </w:rPr>
        <w:t xml:space="preserve">website; </w:t>
      </w:r>
      <w:r w:rsidR="00567AD1" w:rsidRPr="009641ED">
        <w:rPr>
          <w:rFonts w:eastAsiaTheme="minorEastAsia"/>
        </w:rPr>
        <w:t xml:space="preserve">must </w:t>
      </w:r>
      <w:r w:rsidRPr="009641ED">
        <w:rPr>
          <w:rFonts w:eastAsiaTheme="minorEastAsia"/>
        </w:rPr>
        <w:t>include the time, date and location of the meeting</w:t>
      </w:r>
      <w:r w:rsidR="00567AD1" w:rsidRPr="009641ED">
        <w:rPr>
          <w:rFonts w:eastAsiaTheme="minorEastAsia"/>
        </w:rPr>
        <w:t xml:space="preserve"> and </w:t>
      </w:r>
      <w:r w:rsidRPr="009641ED">
        <w:rPr>
          <w:rFonts w:eastAsiaTheme="minorEastAsia"/>
        </w:rPr>
        <w:t>the draft agenda of the meeting; and</w:t>
      </w:r>
      <w:r w:rsidR="00567AD1" w:rsidRPr="009641ED">
        <w:rPr>
          <w:rFonts w:eastAsiaTheme="minorEastAsia"/>
        </w:rPr>
        <w:t>,</w:t>
      </w:r>
      <w:r w:rsidRPr="009641ED">
        <w:rPr>
          <w:rFonts w:eastAsiaTheme="minorEastAsia"/>
        </w:rPr>
        <w:t xml:space="preserve"> if there is an </w:t>
      </w:r>
      <w:r w:rsidR="00567AD1" w:rsidRPr="009641ED">
        <w:rPr>
          <w:rFonts w:eastAsiaTheme="minorEastAsia"/>
        </w:rPr>
        <w:t>anticipated</w:t>
      </w:r>
      <w:r w:rsidRPr="009641ED">
        <w:rPr>
          <w:rFonts w:eastAsiaTheme="minorEastAsia"/>
        </w:rPr>
        <w:t xml:space="preserve"> closed session, must include the proper legal citation to the applicable exceptions to the</w:t>
      </w:r>
      <w:r w:rsidR="00567AD1" w:rsidRPr="009641ED">
        <w:rPr>
          <w:rFonts w:eastAsiaTheme="minorEastAsia"/>
        </w:rPr>
        <w:t xml:space="preserve"> OMA that</w:t>
      </w:r>
      <w:r w:rsidRPr="009641ED">
        <w:rPr>
          <w:rFonts w:eastAsiaTheme="minorEastAsia"/>
        </w:rPr>
        <w:t xml:space="preserve"> allow meeting closure</w:t>
      </w:r>
      <w:r w:rsidR="00463749">
        <w:rPr>
          <w:rFonts w:eastAsiaTheme="minorEastAsia"/>
        </w:rPr>
        <w:t xml:space="preserve">.  </w:t>
      </w:r>
      <w:r w:rsidRPr="009641ED">
        <w:rPr>
          <w:rFonts w:eastAsiaTheme="minorEastAsia"/>
        </w:rPr>
        <w:t>(§ 2-57</w:t>
      </w:r>
      <w:r w:rsidR="00262D7D" w:rsidRPr="009641ED">
        <w:rPr>
          <w:rFonts w:eastAsiaTheme="minorEastAsia"/>
        </w:rPr>
        <w:t>7</w:t>
      </w:r>
      <w:r w:rsidR="00567AD1" w:rsidRPr="009641ED">
        <w:rPr>
          <w:rFonts w:eastAsiaTheme="minorEastAsia"/>
        </w:rPr>
        <w:t>.</w:t>
      </w:r>
      <w:r w:rsidRPr="009641ED">
        <w:rPr>
          <w:rFonts w:eastAsiaTheme="minorEastAsia"/>
        </w:rPr>
        <w:t xml:space="preserve">)  If any of this information is missing, notice of the meeting </w:t>
      </w:r>
      <w:proofErr w:type="gramStart"/>
      <w:r w:rsidRPr="009641ED">
        <w:rPr>
          <w:rFonts w:eastAsiaTheme="minorEastAsia"/>
        </w:rPr>
        <w:t>is considered to be</w:t>
      </w:r>
      <w:proofErr w:type="gramEnd"/>
      <w:r w:rsidRPr="009641ED">
        <w:rPr>
          <w:rFonts w:eastAsiaTheme="minorEastAsia"/>
        </w:rPr>
        <w:t xml:space="preserve"> deficient, and a complaint may be properly filed with the Office of Open Government. </w:t>
      </w:r>
      <w:r w:rsidR="00FF3C65">
        <w:rPr>
          <w:rFonts w:eastAsiaTheme="minorEastAsia"/>
        </w:rPr>
        <w:t xml:space="preserve">The physical </w:t>
      </w:r>
      <w:r w:rsidR="00951294">
        <w:rPr>
          <w:rFonts w:eastAsiaTheme="minorEastAsia"/>
        </w:rPr>
        <w:t>posting</w:t>
      </w:r>
      <w:r w:rsidR="00FF3C65">
        <w:rPr>
          <w:rFonts w:eastAsiaTheme="minorEastAsia"/>
        </w:rPr>
        <w:t xml:space="preserve"> requirement</w:t>
      </w:r>
      <w:r w:rsidR="00951294">
        <w:rPr>
          <w:rFonts w:eastAsiaTheme="minorEastAsia"/>
        </w:rPr>
        <w:t xml:space="preserve"> is suspended for the period of the public health emergency and through December 2023.</w:t>
      </w:r>
      <w:r w:rsidR="00FF3C65">
        <w:rPr>
          <w:rFonts w:eastAsiaTheme="minorEastAsia"/>
        </w:rPr>
        <w:t xml:space="preserve"> (§ 2-576(6).)</w:t>
      </w:r>
    </w:p>
    <w:p w14:paraId="49BE7EA4" w14:textId="77777777" w:rsidR="000275AA" w:rsidRPr="009641ED" w:rsidRDefault="00A958F2" w:rsidP="009F37E4">
      <w:pPr>
        <w:pStyle w:val="RSBCSubtitle"/>
        <w:jc w:val="both"/>
        <w:rPr>
          <w:rFonts w:eastAsiaTheme="minorEastAsia"/>
        </w:rPr>
      </w:pPr>
      <w:r w:rsidRPr="009641ED">
        <w:rPr>
          <w:rFonts w:eastAsiaTheme="minorEastAsia"/>
        </w:rPr>
        <w:t>D.C. Council Meetings</w:t>
      </w:r>
    </w:p>
    <w:p w14:paraId="10410FA5" w14:textId="56C2030A" w:rsidR="000275AA" w:rsidRPr="009641ED" w:rsidRDefault="00A958F2" w:rsidP="009F37E4">
      <w:pPr>
        <w:pStyle w:val="RNSParaNoIndS"/>
        <w:jc w:val="both"/>
        <w:rPr>
          <w:rFonts w:eastAsiaTheme="minorEastAsia"/>
        </w:rPr>
      </w:pPr>
      <w:r w:rsidRPr="009641ED">
        <w:rPr>
          <w:rFonts w:eastAsiaTheme="minorEastAsia"/>
        </w:rPr>
        <w:t xml:space="preserve">The D.C. Council is a covered public body under the </w:t>
      </w:r>
      <w:r w:rsidR="00567AD1" w:rsidRPr="009641ED">
        <w:rPr>
          <w:rFonts w:eastAsiaTheme="minorEastAsia"/>
        </w:rPr>
        <w:t>OMA</w:t>
      </w:r>
      <w:r w:rsidRPr="009641ED">
        <w:rPr>
          <w:rFonts w:eastAsiaTheme="minorEastAsia"/>
        </w:rPr>
        <w:t>, but the Act gives the Council authority to enact its own rules implementing the Act’s open meetings policy</w:t>
      </w:r>
      <w:r w:rsidR="00463749">
        <w:rPr>
          <w:rFonts w:eastAsiaTheme="minorEastAsia"/>
        </w:rPr>
        <w:t xml:space="preserve">.  </w:t>
      </w:r>
      <w:r w:rsidRPr="009641ED">
        <w:rPr>
          <w:rFonts w:eastAsiaTheme="minorEastAsia"/>
        </w:rPr>
        <w:t>Those rules cannot modify the definition of “meeting” under the Act or what it means for a meeting to be open</w:t>
      </w:r>
      <w:r w:rsidR="00463749">
        <w:rPr>
          <w:rFonts w:eastAsiaTheme="minorEastAsia"/>
        </w:rPr>
        <w:t xml:space="preserve">.  </w:t>
      </w:r>
      <w:r w:rsidRPr="009641ED">
        <w:rPr>
          <w:rFonts w:eastAsiaTheme="minorEastAsia"/>
        </w:rPr>
        <w:t>Traditionally, the Council adopts operating rules at the beginning of each two-year Council period</w:t>
      </w:r>
      <w:r w:rsidR="00463749">
        <w:rPr>
          <w:rFonts w:eastAsiaTheme="minorEastAsia"/>
        </w:rPr>
        <w:t xml:space="preserve">.  </w:t>
      </w:r>
      <w:r w:rsidRPr="009641ED">
        <w:rPr>
          <w:rFonts w:eastAsiaTheme="minorEastAsia"/>
        </w:rPr>
        <w:t>Unless and until it adopts rules, the Open Meetings Act governs meetings of the Council as it does me</w:t>
      </w:r>
      <w:r w:rsidR="00567AD1" w:rsidRPr="009641ED">
        <w:rPr>
          <w:rFonts w:eastAsiaTheme="minorEastAsia"/>
        </w:rPr>
        <w:t>etings of other public bodies</w:t>
      </w:r>
      <w:r w:rsidR="00463749">
        <w:rPr>
          <w:rFonts w:eastAsiaTheme="minorEastAsia"/>
        </w:rPr>
        <w:t xml:space="preserve">.  </w:t>
      </w:r>
      <w:r w:rsidRPr="009641ED">
        <w:rPr>
          <w:rFonts w:eastAsiaTheme="minorEastAsia"/>
        </w:rPr>
        <w:t>(§ 2-574(f)</w:t>
      </w:r>
      <w:r w:rsidR="00567AD1" w:rsidRPr="009641ED">
        <w:rPr>
          <w:rFonts w:eastAsiaTheme="minorEastAsia"/>
        </w:rPr>
        <w:t>.</w:t>
      </w:r>
      <w:r w:rsidRPr="009641ED">
        <w:rPr>
          <w:rFonts w:eastAsiaTheme="minorEastAsia"/>
        </w:rPr>
        <w:t>)</w:t>
      </w:r>
      <w:r w:rsidR="00B817C4" w:rsidRPr="009641ED">
        <w:rPr>
          <w:rFonts w:eastAsiaTheme="minorEastAsia"/>
        </w:rPr>
        <w:t xml:space="preserve"> The Council’s current rules applicable to Open Meetings can be found at </w:t>
      </w:r>
      <w:hyperlink r:id="rId9" w:history="1">
        <w:r w:rsidR="00FF3C65" w:rsidRPr="000A2822">
          <w:rPr>
            <w:rStyle w:val="Hyperlink"/>
            <w:rFonts w:eastAsiaTheme="minorEastAsia"/>
          </w:rPr>
          <w:t>https://lims.dccouncil.gov/downloads/LIMS/51944/Meeting1/Enrollment/PR25-0001-Enrollment5.pdf</w:t>
        </w:r>
      </w:hyperlink>
      <w:r w:rsidR="00FF3C65">
        <w:rPr>
          <w:rFonts w:eastAsiaTheme="minorEastAsia"/>
        </w:rPr>
        <w:t>, §§ 371-376 (pp. 56-60).</w:t>
      </w:r>
    </w:p>
    <w:p w14:paraId="004DAE98" w14:textId="77777777" w:rsidR="000275AA" w:rsidRPr="009641ED" w:rsidRDefault="00A958F2" w:rsidP="009F37E4">
      <w:pPr>
        <w:pStyle w:val="RSBCSubtitle"/>
        <w:jc w:val="both"/>
        <w:rPr>
          <w:rFonts w:eastAsiaTheme="minorEastAsia"/>
        </w:rPr>
      </w:pPr>
      <w:r w:rsidRPr="009641ED">
        <w:rPr>
          <w:rFonts w:eastAsiaTheme="minorEastAsia"/>
        </w:rPr>
        <w:t>Advisory Neighborhood Commission Meetings</w:t>
      </w:r>
    </w:p>
    <w:p w14:paraId="6EDEB0BB" w14:textId="7BB16359" w:rsidR="000275AA" w:rsidRPr="009641ED" w:rsidRDefault="00A958F2" w:rsidP="009F37E4">
      <w:pPr>
        <w:pStyle w:val="RNSParaNoIndS"/>
        <w:jc w:val="both"/>
        <w:rPr>
          <w:rFonts w:eastAsiaTheme="minorEastAsia"/>
        </w:rPr>
      </w:pPr>
      <w:r w:rsidRPr="009641ED">
        <w:rPr>
          <w:rFonts w:eastAsiaTheme="minorEastAsia"/>
        </w:rPr>
        <w:t>The Act does not cover meetings of Advisory Neighborhood Commissi</w:t>
      </w:r>
      <w:r w:rsidR="00953D66" w:rsidRPr="009641ED">
        <w:rPr>
          <w:rFonts w:eastAsiaTheme="minorEastAsia"/>
        </w:rPr>
        <w:t xml:space="preserve">ons (ANCs). </w:t>
      </w:r>
      <w:r w:rsidR="00463749">
        <w:rPr>
          <w:rFonts w:eastAsiaTheme="minorEastAsia"/>
        </w:rPr>
        <w:t xml:space="preserve"> </w:t>
      </w:r>
      <w:r w:rsidR="00953D66" w:rsidRPr="009641ED">
        <w:rPr>
          <w:rFonts w:eastAsiaTheme="minorEastAsia"/>
        </w:rPr>
        <w:t xml:space="preserve">Nonetheless, the ANCs’ </w:t>
      </w:r>
      <w:r w:rsidRPr="009641ED">
        <w:rPr>
          <w:rFonts w:eastAsiaTheme="minorEastAsia"/>
        </w:rPr>
        <w:t>authorizing statute requires that their meetings be open unless personnel or legal matters are discussed</w:t>
      </w:r>
      <w:r w:rsidR="00463749">
        <w:rPr>
          <w:rFonts w:eastAsiaTheme="minorEastAsia"/>
        </w:rPr>
        <w:t xml:space="preserve">.  </w:t>
      </w:r>
      <w:r w:rsidRPr="009641ED">
        <w:rPr>
          <w:rFonts w:eastAsiaTheme="minorEastAsia"/>
        </w:rPr>
        <w:t>(</w:t>
      </w:r>
      <w:r w:rsidRPr="009641ED">
        <w:rPr>
          <w:rFonts w:eastAsiaTheme="minorEastAsia"/>
          <w:i/>
          <w:iCs/>
        </w:rPr>
        <w:t>See</w:t>
      </w:r>
      <w:r w:rsidRPr="009641ED">
        <w:rPr>
          <w:rFonts w:eastAsiaTheme="minorEastAsia"/>
        </w:rPr>
        <w:t xml:space="preserve"> the Advisory Neighborhood Councils Act of 1975</w:t>
      </w:r>
      <w:r w:rsidR="004C400C" w:rsidRPr="009641ED">
        <w:rPr>
          <w:rFonts w:eastAsiaTheme="minorEastAsia"/>
        </w:rPr>
        <w:t>,</w:t>
      </w:r>
      <w:r w:rsidRPr="009641ED">
        <w:rPr>
          <w:rFonts w:eastAsiaTheme="minorEastAsia"/>
        </w:rPr>
        <w:t xml:space="preserve"> </w:t>
      </w:r>
      <w:r w:rsidR="004C400C" w:rsidRPr="009641ED">
        <w:rPr>
          <w:rFonts w:eastAsiaTheme="minorEastAsia"/>
        </w:rPr>
        <w:t>D.C. Code 1-309.11</w:t>
      </w:r>
      <w:r w:rsidRPr="009641ED">
        <w:rPr>
          <w:rFonts w:eastAsiaTheme="minorEastAsia"/>
        </w:rPr>
        <w:t>, as amended by § 3 of the Open Meetings Amendment Act of 2010.)</w:t>
      </w:r>
    </w:p>
    <w:p w14:paraId="54970F2F" w14:textId="77777777" w:rsidR="000275AA" w:rsidRPr="009641ED" w:rsidRDefault="00A958F2" w:rsidP="009F37E4">
      <w:pPr>
        <w:pStyle w:val="RSBCSubtitle"/>
        <w:jc w:val="both"/>
        <w:rPr>
          <w:rFonts w:eastAsiaTheme="minorEastAsia"/>
        </w:rPr>
      </w:pPr>
      <w:r w:rsidRPr="009641ED">
        <w:rPr>
          <w:rFonts w:eastAsiaTheme="minorEastAsia"/>
        </w:rPr>
        <w:t>Open Meetings Act Complaints</w:t>
      </w:r>
    </w:p>
    <w:p w14:paraId="064E84ED" w14:textId="08DB837C" w:rsidR="000275AA" w:rsidRPr="009641ED" w:rsidRDefault="00A958F2" w:rsidP="009F37E4">
      <w:pPr>
        <w:pStyle w:val="RNSParaNoIndS"/>
        <w:jc w:val="both"/>
        <w:rPr>
          <w:rFonts w:eastAsiaTheme="minorEastAsia"/>
        </w:rPr>
      </w:pPr>
      <w:r w:rsidRPr="009641ED">
        <w:rPr>
          <w:rFonts w:eastAsiaTheme="minorEastAsia"/>
        </w:rPr>
        <w:t>The Open Meetings Act is enforced by the Office of Open Government (OOG)</w:t>
      </w:r>
      <w:r w:rsidR="00463749">
        <w:rPr>
          <w:rFonts w:eastAsiaTheme="minorEastAsia"/>
        </w:rPr>
        <w:t xml:space="preserve">.  </w:t>
      </w:r>
      <w:r w:rsidRPr="009641ED">
        <w:rPr>
          <w:rFonts w:eastAsiaTheme="minorEastAsia"/>
        </w:rPr>
        <w:t xml:space="preserve">The OOG issues </w:t>
      </w:r>
      <w:r w:rsidR="00262D7D" w:rsidRPr="009641ED">
        <w:rPr>
          <w:rFonts w:eastAsiaTheme="minorEastAsia"/>
        </w:rPr>
        <w:t xml:space="preserve">advisory </w:t>
      </w:r>
      <w:r w:rsidRPr="009641ED">
        <w:rPr>
          <w:rFonts w:eastAsiaTheme="minorEastAsia"/>
        </w:rPr>
        <w:t xml:space="preserve">opinions interpreting the </w:t>
      </w:r>
      <w:r w:rsidR="004C400C" w:rsidRPr="009641ED">
        <w:rPr>
          <w:rFonts w:eastAsiaTheme="minorEastAsia"/>
        </w:rPr>
        <w:t>OMA</w:t>
      </w:r>
      <w:r w:rsidR="00262D7D" w:rsidRPr="009641ED">
        <w:rPr>
          <w:rFonts w:eastAsiaTheme="minorEastAsia"/>
        </w:rPr>
        <w:t xml:space="preserve"> (https://www.open-dc.gov/documents/advisory-opinions)</w:t>
      </w:r>
      <w:r w:rsidRPr="009641ED">
        <w:rPr>
          <w:rFonts w:eastAsiaTheme="minorEastAsia"/>
        </w:rPr>
        <w:t xml:space="preserve"> and has the sole authority to resolve complaints regarding compliance with </w:t>
      </w:r>
      <w:r w:rsidR="004C400C" w:rsidRPr="009641ED">
        <w:rPr>
          <w:rFonts w:eastAsiaTheme="minorEastAsia"/>
        </w:rPr>
        <w:t>that</w:t>
      </w:r>
      <w:r w:rsidRPr="009641ED">
        <w:rPr>
          <w:rFonts w:eastAsiaTheme="minorEastAsia"/>
        </w:rPr>
        <w:t xml:space="preserve"> Act</w:t>
      </w:r>
      <w:r w:rsidR="00463749">
        <w:rPr>
          <w:rFonts w:eastAsiaTheme="minorEastAsia"/>
        </w:rPr>
        <w:t xml:space="preserve">.  </w:t>
      </w:r>
      <w:r w:rsidRPr="009641ED">
        <w:rPr>
          <w:rFonts w:eastAsiaTheme="minorEastAsia"/>
        </w:rPr>
        <w:t>Complaints may be submitted to the OOG by any member of the public</w:t>
      </w:r>
      <w:r w:rsidR="004C400C" w:rsidRPr="009641ED">
        <w:rPr>
          <w:rFonts w:eastAsiaTheme="minorEastAsia"/>
        </w:rPr>
        <w:t xml:space="preserve"> and</w:t>
      </w:r>
      <w:r w:rsidRPr="009641ED">
        <w:rPr>
          <w:rFonts w:eastAsiaTheme="minorEastAsia"/>
        </w:rPr>
        <w:t xml:space="preserve"> may be submitted online via the OMA Complaint Form found at</w:t>
      </w:r>
      <w:r w:rsidR="00FF32FE">
        <w:rPr>
          <w:rFonts w:eastAsiaTheme="minorEastAsia"/>
        </w:rPr>
        <w:t xml:space="preserve"> </w:t>
      </w:r>
      <w:r w:rsidR="00FF32FE" w:rsidRPr="00FF32FE">
        <w:rPr>
          <w:rFonts w:eastAsiaTheme="minorEastAsia"/>
        </w:rPr>
        <w:t>https://www.open-</w:t>
      </w:r>
      <w:r w:rsidR="00FF32FE" w:rsidRPr="00FF32FE">
        <w:rPr>
          <w:rFonts w:eastAsiaTheme="minorEastAsia"/>
        </w:rPr>
        <w:lastRenderedPageBreak/>
        <w:t>dc.gov/sites/default/files/files/OMA_Complaint_Form.pdf</w:t>
      </w:r>
      <w:r w:rsidR="00FF32FE">
        <w:rPr>
          <w:rFonts w:eastAsiaTheme="minorEastAsia"/>
        </w:rPr>
        <w:t>,</w:t>
      </w:r>
      <w:r w:rsidRPr="009641ED">
        <w:rPr>
          <w:rFonts w:eastAsiaTheme="minorEastAsia"/>
        </w:rPr>
        <w:t xml:space="preserve"> in person, </w:t>
      </w:r>
      <w:r w:rsidR="004C400C" w:rsidRPr="009641ED">
        <w:rPr>
          <w:rFonts w:eastAsiaTheme="minorEastAsia"/>
        </w:rPr>
        <w:t xml:space="preserve">via email, </w:t>
      </w:r>
      <w:r w:rsidRPr="009641ED">
        <w:rPr>
          <w:rFonts w:eastAsiaTheme="minorEastAsia"/>
        </w:rPr>
        <w:t xml:space="preserve">or via U.S. mail </w:t>
      </w:r>
      <w:r w:rsidR="004C400C" w:rsidRPr="009641ED">
        <w:rPr>
          <w:rFonts w:eastAsiaTheme="minorEastAsia"/>
        </w:rPr>
        <w:t>addressed to</w:t>
      </w:r>
      <w:r w:rsidRPr="009641ED">
        <w:rPr>
          <w:rFonts w:eastAsiaTheme="minorEastAsia"/>
        </w:rPr>
        <w:t xml:space="preserve"> the Office of Open Government, 441 4</w:t>
      </w:r>
      <w:r w:rsidRPr="009641ED">
        <w:rPr>
          <w:rFonts w:eastAsiaTheme="minorEastAsia"/>
          <w:vertAlign w:val="superscript"/>
        </w:rPr>
        <w:t>th</w:t>
      </w:r>
      <w:r w:rsidRPr="009641ED">
        <w:rPr>
          <w:rFonts w:eastAsiaTheme="minorEastAsia"/>
        </w:rPr>
        <w:t xml:space="preserve"> Street NW, Suite 830 South</w:t>
      </w:r>
      <w:r w:rsidR="00463749">
        <w:rPr>
          <w:rFonts w:eastAsiaTheme="minorEastAsia"/>
        </w:rPr>
        <w:t xml:space="preserve">.  </w:t>
      </w:r>
      <w:r w:rsidRPr="009641ED">
        <w:rPr>
          <w:rFonts w:eastAsiaTheme="minorEastAsia"/>
        </w:rPr>
        <w:t xml:space="preserve">Complaints mailed to the OOG should be clearly marked “Open Meetings Complaint.” </w:t>
      </w:r>
      <w:r w:rsidR="004C400C" w:rsidRPr="009641ED">
        <w:rPr>
          <w:rFonts w:eastAsiaTheme="minorEastAsia"/>
        </w:rPr>
        <w:t>Emailed complaints should be addressed</w:t>
      </w:r>
      <w:r w:rsidRPr="009641ED">
        <w:rPr>
          <w:rFonts w:eastAsiaTheme="minorEastAsia"/>
        </w:rPr>
        <w:t xml:space="preserve"> to </w:t>
      </w:r>
      <w:hyperlink r:id="rId10" w:history="1">
        <w:r w:rsidRPr="00E42B44">
          <w:rPr>
            <w:rStyle w:val="Hyperlink"/>
            <w:rFonts w:eastAsiaTheme="minorEastAsia"/>
          </w:rPr>
          <w:t>opengovoffice@dc.gov</w:t>
        </w:r>
      </w:hyperlink>
      <w:r w:rsidRPr="009641ED">
        <w:rPr>
          <w:rFonts w:eastAsiaTheme="minorEastAsia"/>
        </w:rPr>
        <w:t xml:space="preserve"> and must include “Open Meetings Complaint” in the subject line. </w:t>
      </w:r>
    </w:p>
    <w:p w14:paraId="0AF037D2" w14:textId="44975317" w:rsidR="000275AA" w:rsidRPr="009641ED" w:rsidRDefault="00A958F2" w:rsidP="009F37E4">
      <w:pPr>
        <w:pStyle w:val="RNSParaNoIndS"/>
        <w:jc w:val="both"/>
        <w:rPr>
          <w:rFonts w:eastAsiaTheme="minorEastAsia"/>
        </w:rPr>
      </w:pPr>
      <w:r w:rsidRPr="009641ED">
        <w:rPr>
          <w:rFonts w:eastAsiaTheme="minorEastAsia"/>
        </w:rPr>
        <w:t>Complaints should include details of the meeting (</w:t>
      </w:r>
      <w:r w:rsidR="00CC6019" w:rsidRPr="009641ED">
        <w:rPr>
          <w:rFonts w:eastAsiaTheme="minorEastAsia"/>
        </w:rPr>
        <w:t>that is</w:t>
      </w:r>
      <w:r w:rsidRPr="009641ED">
        <w:rPr>
          <w:rFonts w:eastAsiaTheme="minorEastAsia"/>
        </w:rPr>
        <w:t xml:space="preserve">, </w:t>
      </w:r>
      <w:r w:rsidR="00CC6019" w:rsidRPr="009641ED">
        <w:rPr>
          <w:rFonts w:eastAsiaTheme="minorEastAsia"/>
        </w:rPr>
        <w:t xml:space="preserve">the </w:t>
      </w:r>
      <w:r w:rsidRPr="009641ED">
        <w:rPr>
          <w:rFonts w:eastAsiaTheme="minorEastAsia"/>
        </w:rPr>
        <w:t xml:space="preserve">public body, date, </w:t>
      </w:r>
      <w:r w:rsidR="00CC6019" w:rsidRPr="009641ED">
        <w:rPr>
          <w:rFonts w:eastAsiaTheme="minorEastAsia"/>
        </w:rPr>
        <w:t xml:space="preserve">and </w:t>
      </w:r>
      <w:r w:rsidRPr="009641ED">
        <w:rPr>
          <w:rFonts w:eastAsiaTheme="minorEastAsia"/>
        </w:rPr>
        <w:t>time of the meeting)</w:t>
      </w:r>
      <w:r w:rsidR="00CC6019" w:rsidRPr="009641ED">
        <w:rPr>
          <w:rFonts w:eastAsiaTheme="minorEastAsia"/>
        </w:rPr>
        <w:t xml:space="preserve"> </w:t>
      </w:r>
      <w:r w:rsidRPr="009641ED">
        <w:rPr>
          <w:rFonts w:eastAsiaTheme="minorEastAsia"/>
        </w:rPr>
        <w:t>and</w:t>
      </w:r>
      <w:r w:rsidR="00CC6019" w:rsidRPr="009641ED">
        <w:rPr>
          <w:rFonts w:eastAsiaTheme="minorEastAsia"/>
        </w:rPr>
        <w:t>,</w:t>
      </w:r>
      <w:r w:rsidRPr="009641ED">
        <w:rPr>
          <w:rFonts w:eastAsiaTheme="minorEastAsia"/>
        </w:rPr>
        <w:t xml:space="preserve"> if possible</w:t>
      </w:r>
      <w:r w:rsidR="00CC6019" w:rsidRPr="009641ED">
        <w:rPr>
          <w:rFonts w:eastAsiaTheme="minorEastAsia"/>
        </w:rPr>
        <w:t>,</w:t>
      </w:r>
      <w:r w:rsidRPr="009641ED">
        <w:rPr>
          <w:rFonts w:eastAsiaTheme="minorEastAsia"/>
        </w:rPr>
        <w:t xml:space="preserve"> a description of how you believe the OMA was violated. </w:t>
      </w:r>
    </w:p>
    <w:p w14:paraId="7F808DE0" w14:textId="311DFB6B" w:rsidR="000275AA" w:rsidRPr="00E42B44" w:rsidRDefault="00A958F2" w:rsidP="009F37E4">
      <w:pPr>
        <w:pStyle w:val="RNSParaNoIndS"/>
        <w:jc w:val="both"/>
        <w:rPr>
          <w:rFonts w:eastAsiaTheme="minorEastAsia"/>
          <w:i/>
        </w:rPr>
      </w:pPr>
      <w:r w:rsidRPr="009641ED">
        <w:rPr>
          <w:rFonts w:eastAsiaTheme="minorEastAsia"/>
        </w:rPr>
        <w:t>As part of its enforcement authority, the OOG may sue a public body for failure to comply with the OMA</w:t>
      </w:r>
      <w:r w:rsidR="00463749">
        <w:rPr>
          <w:rFonts w:eastAsiaTheme="minorEastAsia"/>
        </w:rPr>
        <w:t xml:space="preserve">.  </w:t>
      </w:r>
      <w:r w:rsidRPr="009641ED">
        <w:rPr>
          <w:rFonts w:eastAsiaTheme="minorEastAsia"/>
        </w:rPr>
        <w:t xml:space="preserve">If successful, a court can prohibit the public body from closing future </w:t>
      </w:r>
      <w:proofErr w:type="gramStart"/>
      <w:r w:rsidRPr="009641ED">
        <w:rPr>
          <w:rFonts w:eastAsiaTheme="minorEastAsia"/>
        </w:rPr>
        <w:t>meetings, or</w:t>
      </w:r>
      <w:proofErr w:type="gramEnd"/>
      <w:r w:rsidRPr="009641ED">
        <w:rPr>
          <w:rFonts w:eastAsiaTheme="minorEastAsia"/>
        </w:rPr>
        <w:t xml:space="preserve"> order the public body to disclose the record of the closed meeting</w:t>
      </w:r>
      <w:r w:rsidR="00463749">
        <w:rPr>
          <w:rFonts w:eastAsiaTheme="minorEastAsia"/>
        </w:rPr>
        <w:t xml:space="preserve">.  </w:t>
      </w:r>
      <w:r w:rsidRPr="009641ED">
        <w:rPr>
          <w:rFonts w:eastAsiaTheme="minorEastAsia"/>
        </w:rPr>
        <w:t>(§ 2-57</w:t>
      </w:r>
      <w:r w:rsidR="00262D7D" w:rsidRPr="009641ED">
        <w:rPr>
          <w:rFonts w:eastAsiaTheme="minorEastAsia"/>
        </w:rPr>
        <w:t>9</w:t>
      </w:r>
      <w:r w:rsidRPr="009641ED">
        <w:rPr>
          <w:rFonts w:eastAsiaTheme="minorEastAsia"/>
        </w:rPr>
        <w:t>(c)</w:t>
      </w:r>
      <w:r w:rsidR="00CC6019" w:rsidRPr="009641ED">
        <w:rPr>
          <w:rFonts w:eastAsiaTheme="minorEastAsia"/>
        </w:rPr>
        <w:t>.</w:t>
      </w:r>
      <w:r w:rsidRPr="009641ED">
        <w:rPr>
          <w:rFonts w:eastAsiaTheme="minorEastAsia"/>
        </w:rPr>
        <w:t>) The Superior Court did this in the case of the</w:t>
      </w:r>
      <w:r w:rsidRPr="009641ED">
        <w:rPr>
          <w:rFonts w:eastAsiaTheme="minorEastAsia"/>
          <w:i/>
        </w:rPr>
        <w:t xml:space="preserve"> Office of Open Government vs. the Mayor’s Advisory Commission on Caribbean Community Affairs</w:t>
      </w:r>
      <w:r w:rsidRPr="009641ED">
        <w:rPr>
          <w:rFonts w:eastAsiaTheme="minorEastAsia"/>
        </w:rPr>
        <w:t xml:space="preserve"> where the Commission</w:t>
      </w:r>
      <w:r w:rsidR="00CC6019" w:rsidRPr="009641ED">
        <w:rPr>
          <w:rFonts w:eastAsiaTheme="minorEastAsia"/>
        </w:rPr>
        <w:t xml:space="preserve"> had</w:t>
      </w:r>
      <w:r w:rsidRPr="009641ED">
        <w:rPr>
          <w:rFonts w:eastAsiaTheme="minorEastAsia"/>
        </w:rPr>
        <w:t xml:space="preserve"> consistently failed to properly notice its meetings and </w:t>
      </w:r>
      <w:r w:rsidR="00CC6019" w:rsidRPr="009641ED">
        <w:rPr>
          <w:rFonts w:eastAsiaTheme="minorEastAsia"/>
        </w:rPr>
        <w:t xml:space="preserve">publish </w:t>
      </w:r>
      <w:r w:rsidRPr="009641ED">
        <w:rPr>
          <w:rFonts w:eastAsiaTheme="minorEastAsia"/>
        </w:rPr>
        <w:t>meeting minutes</w:t>
      </w:r>
      <w:r w:rsidR="00463749">
        <w:rPr>
          <w:rFonts w:eastAsiaTheme="minorEastAsia"/>
        </w:rPr>
        <w:t xml:space="preserve">.  </w:t>
      </w:r>
      <w:r w:rsidR="00B817C4" w:rsidRPr="009641ED">
        <w:rPr>
          <w:rFonts w:eastAsiaTheme="minorEastAsia"/>
        </w:rPr>
        <w:t xml:space="preserve">The Court’s </w:t>
      </w:r>
      <w:r w:rsidR="00FF32FE">
        <w:rPr>
          <w:rFonts w:eastAsiaTheme="minorEastAsia"/>
        </w:rPr>
        <w:t xml:space="preserve">2018 </w:t>
      </w:r>
      <w:r w:rsidR="00B817C4" w:rsidRPr="009641ED">
        <w:rPr>
          <w:rFonts w:eastAsiaTheme="minorEastAsia"/>
        </w:rPr>
        <w:t>opinion can be found</w:t>
      </w:r>
      <w:r w:rsidR="00262D7D" w:rsidRPr="009641ED">
        <w:rPr>
          <w:rFonts w:eastAsiaTheme="minorEastAsia"/>
        </w:rPr>
        <w:t xml:space="preserve"> at </w:t>
      </w:r>
      <w:hyperlink r:id="rId11" w:history="1">
        <w:r w:rsidR="00FF32FE" w:rsidRPr="000A2822">
          <w:rPr>
            <w:rStyle w:val="Hyperlink"/>
            <w:rFonts w:eastAsiaTheme="minorEastAsia"/>
          </w:rPr>
          <w:t>https://www.open-dc.gov/documents/maccca-final-order</w:t>
        </w:r>
      </w:hyperlink>
      <w:r w:rsidR="00B817C4" w:rsidRPr="009641ED">
        <w:rPr>
          <w:rFonts w:eastAsiaTheme="minorEastAsia"/>
        </w:rPr>
        <w:t>.</w:t>
      </w:r>
      <w:r w:rsidR="00FF32FE">
        <w:rPr>
          <w:rFonts w:eastAsiaTheme="minorEastAsia"/>
        </w:rPr>
        <w:t xml:space="preserve"> </w:t>
      </w:r>
    </w:p>
    <w:p w14:paraId="35F5DAE3" w14:textId="69F3F47B" w:rsidR="00CC6019" w:rsidRPr="009641ED" w:rsidRDefault="00A958F2" w:rsidP="009F37E4">
      <w:pPr>
        <w:pStyle w:val="RNSParaNoIndS"/>
        <w:jc w:val="both"/>
        <w:rPr>
          <w:rFonts w:eastAsiaTheme="minorEastAsia"/>
        </w:rPr>
      </w:pPr>
      <w:r w:rsidRPr="009641ED">
        <w:rPr>
          <w:rFonts w:eastAsiaTheme="minorEastAsia"/>
        </w:rPr>
        <w:t>If the court finds that an official action was taken at the illegally closed meeting, it may order an appropriate remedy, which may include voiding any official action taken in the meeting.  (§ 2-57</w:t>
      </w:r>
      <w:r w:rsidR="00262D7D" w:rsidRPr="009641ED">
        <w:rPr>
          <w:rFonts w:eastAsiaTheme="minorEastAsia"/>
        </w:rPr>
        <w:t>9</w:t>
      </w:r>
      <w:r w:rsidRPr="009641ED">
        <w:rPr>
          <w:rFonts w:eastAsiaTheme="minorEastAsia"/>
        </w:rPr>
        <w:t>(d)</w:t>
      </w:r>
      <w:r w:rsidR="00CC6019" w:rsidRPr="009641ED">
        <w:rPr>
          <w:rFonts w:eastAsiaTheme="minorEastAsia"/>
        </w:rPr>
        <w:t>.</w:t>
      </w:r>
      <w:r w:rsidRPr="009641ED">
        <w:rPr>
          <w:rFonts w:eastAsiaTheme="minorEastAsia"/>
        </w:rPr>
        <w:t>)</w:t>
      </w:r>
    </w:p>
    <w:p w14:paraId="3C59D0A6" w14:textId="77777777" w:rsidR="00CC6019" w:rsidRPr="009641ED" w:rsidRDefault="00CC6019" w:rsidP="009F37E4">
      <w:pPr>
        <w:pStyle w:val="RSBCSubtitle"/>
        <w:jc w:val="both"/>
        <w:rPr>
          <w:rFonts w:eastAsiaTheme="minorEastAsia"/>
        </w:rPr>
      </w:pPr>
      <w:r w:rsidRPr="009641ED">
        <w:rPr>
          <w:rFonts w:eastAsiaTheme="minorEastAsia"/>
        </w:rPr>
        <w:t>Conclusion</w:t>
      </w:r>
    </w:p>
    <w:p w14:paraId="69B1F834" w14:textId="3C618F7F" w:rsidR="000275AA" w:rsidRPr="009641ED" w:rsidRDefault="00CC6019" w:rsidP="009F37E4">
      <w:pPr>
        <w:pStyle w:val="RNSParaNoIndS"/>
        <w:jc w:val="both"/>
        <w:rPr>
          <w:rFonts w:eastAsiaTheme="minorEastAsia"/>
        </w:rPr>
      </w:pPr>
      <w:r w:rsidRPr="009641ED">
        <w:rPr>
          <w:rFonts w:eastAsiaTheme="minorEastAsia"/>
        </w:rPr>
        <w:t xml:space="preserve">Much of the business of the District of Columbia government is done at meetings of public bodies that are required by the Open Meetings Act to provide advance notice of the meetings, to open them </w:t>
      </w:r>
      <w:r w:rsidR="00FF32FE">
        <w:rPr>
          <w:rFonts w:eastAsiaTheme="minorEastAsia"/>
        </w:rPr>
        <w:t xml:space="preserve">at least virtually </w:t>
      </w:r>
      <w:r w:rsidRPr="009641ED">
        <w:rPr>
          <w:rFonts w:eastAsiaTheme="minorEastAsia"/>
        </w:rPr>
        <w:t>to the public, and to provide the public afterwards with a record of what went on at the meetings</w:t>
      </w:r>
      <w:r w:rsidR="00463749">
        <w:rPr>
          <w:rFonts w:eastAsiaTheme="minorEastAsia"/>
        </w:rPr>
        <w:t xml:space="preserve">.  </w:t>
      </w:r>
      <w:r w:rsidRPr="009641ED">
        <w:rPr>
          <w:rFonts w:eastAsiaTheme="minorEastAsia"/>
        </w:rPr>
        <w:t>While, unlike under the District’s Freedom of Information Act and the open meetings acts of other jurisdictions, a member of the public cannot go to court to seek redress for a violation of the Act, the Office of Open Government is available and empowered to remedy OMA violations and has proved willing in the past to do so.</w:t>
      </w:r>
      <w:r w:rsidR="00FF32FE">
        <w:rPr>
          <w:rFonts w:eastAsiaTheme="minorEastAsia"/>
        </w:rPr>
        <w:t xml:space="preserve"> Note also, unlike open meetings laws in some states, the OMA does not provide a general right for the public to speak at a covered meeting.</w:t>
      </w:r>
    </w:p>
    <w:p w14:paraId="6B8BC7F7" w14:textId="77777777" w:rsidR="000275AA" w:rsidRPr="00055F29" w:rsidRDefault="00A958F2" w:rsidP="00E42B44">
      <w:pPr>
        <w:pStyle w:val="RSBSubtitle"/>
        <w:rPr>
          <w:rFonts w:eastAsiaTheme="minorEastAsia"/>
          <w:color w:val="BF5B00"/>
        </w:rPr>
      </w:pPr>
      <w:r w:rsidRPr="00055F29">
        <w:rPr>
          <w:rFonts w:eastAsiaTheme="minorEastAsia"/>
          <w:color w:val="BF5B00"/>
        </w:rPr>
        <w:t>REFERENCES/SOURCES:</w:t>
      </w:r>
    </w:p>
    <w:p w14:paraId="04A8D64D" w14:textId="725F9ACA" w:rsidR="000275AA" w:rsidRPr="009641ED" w:rsidRDefault="00A958F2" w:rsidP="00E42B44">
      <w:pPr>
        <w:pStyle w:val="RNSParaNoIndS"/>
        <w:rPr>
          <w:rFonts w:eastAsiaTheme="minorEastAsia"/>
          <w:sz w:val="28"/>
          <w:szCs w:val="28"/>
        </w:rPr>
      </w:pPr>
      <w:r w:rsidRPr="00651DFF">
        <w:rPr>
          <w:rFonts w:eastAsiaTheme="minorEastAsia"/>
        </w:rPr>
        <w:t>A list of Boards and Commissions may be found at:</w:t>
      </w:r>
      <w:r w:rsidRPr="009641ED">
        <w:rPr>
          <w:rFonts w:eastAsiaTheme="minorEastAsia"/>
          <w:sz w:val="28"/>
          <w:szCs w:val="28"/>
        </w:rPr>
        <w:t xml:space="preserve"> </w:t>
      </w:r>
      <w:hyperlink r:id="rId12" w:history="1">
        <w:r w:rsidRPr="00E42B44">
          <w:rPr>
            <w:rStyle w:val="Hyperlink"/>
            <w:rFonts w:eastAsiaTheme="minorEastAsia"/>
          </w:rPr>
          <w:t>https://www.open-dc.gov/public-bodies</w:t>
        </w:r>
      </w:hyperlink>
    </w:p>
    <w:p w14:paraId="0579B197" w14:textId="77777777" w:rsidR="000275AA" w:rsidRPr="009641ED" w:rsidRDefault="00A958F2" w:rsidP="00E42B44">
      <w:pPr>
        <w:pStyle w:val="RNSParaNoIndS"/>
        <w:rPr>
          <w:rFonts w:eastAsiaTheme="minorEastAsia"/>
          <w:sz w:val="28"/>
          <w:szCs w:val="28"/>
        </w:rPr>
      </w:pPr>
      <w:r w:rsidRPr="00651DFF">
        <w:rPr>
          <w:rFonts w:eastAsiaTheme="minorEastAsia"/>
        </w:rPr>
        <w:t>A central calendar of public body meetings may be found at:</w:t>
      </w:r>
      <w:r w:rsidRPr="009641ED">
        <w:rPr>
          <w:rFonts w:eastAsiaTheme="minorEastAsia"/>
          <w:sz w:val="28"/>
          <w:szCs w:val="28"/>
        </w:rPr>
        <w:t xml:space="preserve"> </w:t>
      </w:r>
      <w:hyperlink r:id="rId13" w:history="1">
        <w:r w:rsidRPr="00E42B44">
          <w:rPr>
            <w:rStyle w:val="Hyperlink"/>
            <w:rFonts w:eastAsiaTheme="minorEastAsia"/>
          </w:rPr>
          <w:t>https://www.open-dc.gov/public-bodies/meetings</w:t>
        </w:r>
      </w:hyperlink>
    </w:p>
    <w:p w14:paraId="232337D1" w14:textId="277D8E1F" w:rsidR="009F37E4" w:rsidRDefault="00A958F2" w:rsidP="00BC0945">
      <w:pPr>
        <w:pStyle w:val="RNSParaNoIndS"/>
        <w:spacing w:after="480"/>
        <w:rPr>
          <w:rStyle w:val="Hyperlink"/>
          <w:rFonts w:eastAsiaTheme="minorEastAsia"/>
        </w:rPr>
      </w:pPr>
      <w:r w:rsidRPr="00E42B44">
        <w:rPr>
          <w:rFonts w:eastAsiaTheme="minorEastAsia"/>
        </w:rPr>
        <w:t>Read the full Open Meetings Act here:</w:t>
      </w:r>
      <w:r w:rsidRPr="009641ED">
        <w:rPr>
          <w:rFonts w:eastAsiaTheme="minorEastAsia"/>
          <w:sz w:val="28"/>
          <w:szCs w:val="28"/>
        </w:rPr>
        <w:t xml:space="preserve"> </w:t>
      </w:r>
      <w:hyperlink r:id="rId14" w:history="1">
        <w:r w:rsidRPr="00E42B44">
          <w:rPr>
            <w:rStyle w:val="Hyperlink"/>
            <w:rFonts w:eastAsiaTheme="minorEastAsia"/>
          </w:rPr>
          <w:t>https://code.dccouncil.us/dc/council/code/titles/2/chapters/5/subchapters/IV/</w:t>
        </w:r>
      </w:hyperlink>
      <w:bookmarkStart w:id="1" w:name="_Hlk9861148"/>
    </w:p>
    <w:p w14:paraId="16C1FE40" w14:textId="77777777" w:rsidR="009F37E4" w:rsidRDefault="009F37E4">
      <w:pPr>
        <w:pBdr>
          <w:top w:val="nil"/>
          <w:left w:val="nil"/>
          <w:bottom w:val="nil"/>
          <w:right w:val="nil"/>
          <w:between w:val="nil"/>
          <w:bar w:val="nil"/>
        </w:pBdr>
        <w:rPr>
          <w:rStyle w:val="Hyperlink"/>
          <w:rFonts w:eastAsiaTheme="minorEastAsia"/>
        </w:rPr>
      </w:pPr>
      <w:r>
        <w:rPr>
          <w:rStyle w:val="Hyperlink"/>
          <w:rFonts w:eastAsiaTheme="minorEastAsia"/>
        </w:rPr>
        <w:br w:type="page"/>
      </w:r>
    </w:p>
    <w:bookmarkEnd w:id="1"/>
    <w:p w14:paraId="0202E731" w14:textId="77777777" w:rsidR="00E42B44" w:rsidRPr="00651DFF" w:rsidRDefault="00E42B44" w:rsidP="00E42B44">
      <w:pPr>
        <w:keepNext/>
        <w:keepLines/>
        <w:pBdr>
          <w:top w:val="single" w:sz="4" w:space="3" w:color="auto"/>
          <w:left w:val="single" w:sz="4" w:space="3" w:color="auto"/>
          <w:bottom w:val="single" w:sz="4" w:space="3" w:color="auto"/>
          <w:right w:val="single" w:sz="4" w:space="3" w:color="auto"/>
        </w:pBdr>
        <w:spacing w:after="240"/>
        <w:jc w:val="center"/>
        <w:rPr>
          <w:b/>
          <w:color w:val="BF5B00"/>
          <w:sz w:val="26"/>
          <w:szCs w:val="26"/>
        </w:rPr>
      </w:pPr>
      <w:r w:rsidRPr="00651DFF">
        <w:rPr>
          <w:b/>
          <w:color w:val="BF5B00"/>
          <w:sz w:val="26"/>
          <w:szCs w:val="26"/>
        </w:rPr>
        <w:lastRenderedPageBreak/>
        <w:t>The D.C. Open Government Coalition</w:t>
      </w:r>
    </w:p>
    <w:p w14:paraId="446BFE85" w14:textId="11DAD418" w:rsidR="00E42B44" w:rsidRDefault="00E42B44" w:rsidP="00E42B44">
      <w:pPr>
        <w:keepNext/>
        <w:keepLines/>
        <w:pBdr>
          <w:top w:val="single" w:sz="4" w:space="3" w:color="auto"/>
          <w:left w:val="single" w:sz="4" w:space="3" w:color="auto"/>
          <w:bottom w:val="single" w:sz="4" w:space="3" w:color="auto"/>
          <w:right w:val="single" w:sz="4" w:space="3" w:color="auto"/>
        </w:pBdr>
        <w:spacing w:after="240"/>
      </w:pPr>
      <w:r>
        <w:t>The D.C. Open Government Coalition seeks to enhance the public’s access to government information and ensure the transparency of government operations of the District of Columbia</w:t>
      </w:r>
      <w:r w:rsidR="00463749">
        <w:t xml:space="preserve">.  </w:t>
      </w:r>
      <w:r>
        <w:t>We believe that transparency promotes civic engagement and is critical to responsive and accountable government</w:t>
      </w:r>
      <w:r w:rsidR="00463749">
        <w:t xml:space="preserve">.  </w:t>
      </w:r>
      <w:r>
        <w:t xml:space="preserve">We strive to improve the processes by which the public gains access to government records and proceedings, and to educate the public and government officials about the principles and benefits of open government in a democratic society.  Visit our website at </w:t>
      </w:r>
      <w:hyperlink r:id="rId15" w:history="1">
        <w:r>
          <w:rPr>
            <w:rStyle w:val="Link"/>
          </w:rPr>
          <w:t>www.dcogc.org</w:t>
        </w:r>
      </w:hyperlink>
      <w:r>
        <w:t xml:space="preserve">.  </w:t>
      </w:r>
    </w:p>
    <w:p w14:paraId="71A24A7B" w14:textId="427A9A74" w:rsidR="00BC0945" w:rsidRPr="00A72376" w:rsidRDefault="00BC0945" w:rsidP="00BC0945">
      <w:pPr>
        <w:pStyle w:val="RNSParaNoIndS"/>
        <w:spacing w:after="480"/>
        <w:rPr>
          <w:b/>
          <w:i/>
        </w:rPr>
      </w:pPr>
      <w:r w:rsidRPr="00A72376">
        <w:rPr>
          <w:b/>
          <w:i/>
        </w:rPr>
        <w:t>This guide is only for use as general information</w:t>
      </w:r>
      <w:r>
        <w:rPr>
          <w:b/>
          <w:i/>
        </w:rPr>
        <w:t xml:space="preserve">.  </w:t>
      </w:r>
      <w:r w:rsidRPr="00A72376">
        <w:rPr>
          <w:b/>
          <w:i/>
        </w:rPr>
        <w:t>It is not intended to be legal advice about any specific situation</w:t>
      </w:r>
      <w:r>
        <w:rPr>
          <w:b/>
          <w:i/>
        </w:rPr>
        <w:t xml:space="preserve">.  </w:t>
      </w:r>
      <w:r w:rsidRPr="00A72376">
        <w:rPr>
          <w:b/>
          <w:i/>
        </w:rPr>
        <w:t>For legal advice, consult a qualified attorney</w:t>
      </w:r>
      <w:r>
        <w:rPr>
          <w:b/>
          <w:i/>
        </w:rPr>
        <w:t xml:space="preserve">.  </w:t>
      </w:r>
      <w:r w:rsidRPr="00A72376">
        <w:rPr>
          <w:b/>
          <w:i/>
        </w:rPr>
        <w:t>The Coalition may be able to help you locate an attorney</w:t>
      </w:r>
      <w:r>
        <w:rPr>
          <w:b/>
          <w:i/>
        </w:rPr>
        <w:t xml:space="preserve">.  </w:t>
      </w:r>
      <w:r w:rsidRPr="00A72376">
        <w:rPr>
          <w:b/>
          <w:i/>
        </w:rPr>
        <w:t xml:space="preserve">The contents of this guide are up to date as of </w:t>
      </w:r>
      <w:r w:rsidR="00FF32FE">
        <w:rPr>
          <w:b/>
          <w:i/>
        </w:rPr>
        <w:t>February 2023.</w:t>
      </w:r>
    </w:p>
    <w:p w14:paraId="7A103B87" w14:textId="0C46DA7B" w:rsidR="00BC0945" w:rsidRDefault="00BC0945" w:rsidP="00BC0945">
      <w:pPr>
        <w:pStyle w:val="RSBTitle-12pts"/>
      </w:pPr>
      <w:r w:rsidRPr="00A72376">
        <w:t>D.C. Open Government Coalition</w:t>
      </w:r>
      <w:r>
        <w:br/>
        <w:t>Washington, DC (202) 780-6020</w:t>
      </w:r>
      <w:r>
        <w:br/>
      </w:r>
      <w:hyperlink r:id="rId16" w:history="1">
        <w:r w:rsidRPr="00A72376">
          <w:rPr>
            <w:rStyle w:val="Hyperlink"/>
          </w:rPr>
          <w:t>www.dcogc.org</w:t>
        </w:r>
      </w:hyperlink>
    </w:p>
    <w:p w14:paraId="7C2B4967" w14:textId="41B21F8E" w:rsidR="000275AA" w:rsidRPr="009641ED" w:rsidRDefault="00E42B44" w:rsidP="00BC0945">
      <w:pPr>
        <w:pStyle w:val="RBNBasicNoSpace"/>
        <w:rPr>
          <w:rFonts w:eastAsiaTheme="minorEastAsia"/>
        </w:rPr>
      </w:pPr>
      <w:r>
        <w:br/>
      </w:r>
    </w:p>
    <w:sectPr w:rsidR="000275AA" w:rsidRPr="009641E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508F" w14:textId="77777777" w:rsidR="00313232" w:rsidRPr="009641ED" w:rsidRDefault="00313232">
      <w:pPr>
        <w:rPr>
          <w:rFonts w:eastAsiaTheme="minorEastAsia" w:cstheme="minorBidi"/>
        </w:rPr>
      </w:pPr>
      <w:r w:rsidRPr="009641ED">
        <w:rPr>
          <w:rFonts w:eastAsiaTheme="minorEastAsia" w:cstheme="minorBidi"/>
        </w:rPr>
        <w:separator/>
      </w:r>
    </w:p>
  </w:endnote>
  <w:endnote w:type="continuationSeparator" w:id="0">
    <w:p w14:paraId="60EEFED7" w14:textId="77777777" w:rsidR="00313232" w:rsidRPr="009641ED" w:rsidRDefault="00313232">
      <w:pPr>
        <w:rPr>
          <w:rFonts w:eastAsiaTheme="minorEastAsia" w:cstheme="minorBidi"/>
        </w:rPr>
      </w:pPr>
      <w:r w:rsidRPr="009641ED">
        <w:rPr>
          <w:rFonts w:eastAsiaTheme="minorEastAsia"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D1A2" w14:textId="77777777" w:rsidR="00CC5A9E" w:rsidRDefault="00C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heme="minorBidi"/>
      </w:rPr>
      <w:id w:val="-1103037412"/>
      <w:docPartObj>
        <w:docPartGallery w:val="Page Numbers (Bottom of Page)"/>
        <w:docPartUnique/>
      </w:docPartObj>
    </w:sdtPr>
    <w:sdtEndPr>
      <w:rPr>
        <w:noProof/>
      </w:rPr>
    </w:sdtEndPr>
    <w:sdtContent>
      <w:p w14:paraId="0F633FBA" w14:textId="2AFA3B6D" w:rsidR="000275AA" w:rsidRPr="009641ED" w:rsidRDefault="00D777FC">
        <w:pPr>
          <w:jc w:val="center"/>
          <w:rPr>
            <w:rFonts w:eastAsiaTheme="minorEastAsia" w:cstheme="minorBidi"/>
          </w:rPr>
        </w:pPr>
        <w:r w:rsidRPr="009641ED">
          <w:rPr>
            <w:rFonts w:eastAsiaTheme="minorEastAsia" w:cstheme="minorBidi"/>
          </w:rPr>
          <w:fldChar w:fldCharType="begin"/>
        </w:r>
        <w:r w:rsidRPr="009641ED">
          <w:rPr>
            <w:rFonts w:eastAsiaTheme="minorEastAsia" w:cstheme="minorBidi"/>
          </w:rPr>
          <w:instrText xml:space="preserve"> PAGE   \* MERGEFORMAT </w:instrText>
        </w:r>
        <w:r w:rsidRPr="009641ED">
          <w:rPr>
            <w:rFonts w:eastAsiaTheme="minorEastAsia" w:cstheme="minorBidi"/>
          </w:rPr>
          <w:fldChar w:fldCharType="separate"/>
        </w:r>
        <w:r w:rsidR="009F37E4">
          <w:rPr>
            <w:rFonts w:eastAsiaTheme="minorEastAsia" w:cstheme="minorBidi"/>
            <w:noProof/>
          </w:rPr>
          <w:t>6</w:t>
        </w:r>
        <w:r w:rsidRPr="009641ED">
          <w:rPr>
            <w:rFonts w:eastAsiaTheme="minorEastAsia" w:cstheme="minorBid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56A7" w14:textId="77777777" w:rsidR="00CC5A9E" w:rsidRDefault="00C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D860" w14:textId="77777777" w:rsidR="00313232" w:rsidRPr="009641ED" w:rsidRDefault="00313232">
      <w:pPr>
        <w:rPr>
          <w:rFonts w:eastAsiaTheme="minorEastAsia" w:cstheme="minorBidi"/>
        </w:rPr>
      </w:pPr>
      <w:r w:rsidRPr="009641ED">
        <w:rPr>
          <w:rFonts w:eastAsiaTheme="minorEastAsia" w:cstheme="minorBidi"/>
        </w:rPr>
        <w:separator/>
      </w:r>
    </w:p>
  </w:footnote>
  <w:footnote w:type="continuationSeparator" w:id="0">
    <w:p w14:paraId="3209B916" w14:textId="77777777" w:rsidR="00313232" w:rsidRPr="009641ED" w:rsidRDefault="00313232">
      <w:pPr>
        <w:rPr>
          <w:rFonts w:eastAsiaTheme="minorEastAsia" w:cstheme="minorBidi"/>
        </w:rPr>
      </w:pPr>
      <w:r w:rsidRPr="009641ED">
        <w:rPr>
          <w:rFonts w:eastAsiaTheme="minorEastAsia" w:cstheme="minorBidi"/>
        </w:rPr>
        <w:continuationSeparator/>
      </w:r>
    </w:p>
  </w:footnote>
  <w:footnote w:type="continuationNotice" w:id="1">
    <w:p w14:paraId="4FB1BDBD" w14:textId="77777777" w:rsidR="00313232" w:rsidRPr="009641ED" w:rsidRDefault="00313232">
      <w:pPr>
        <w:rPr>
          <w:rFonts w:eastAsiaTheme="minorEastAsia" w:cstheme="minorBidi"/>
        </w:rPr>
      </w:pPr>
    </w:p>
  </w:footnote>
  <w:footnote w:id="2">
    <w:p w14:paraId="5D6924DD" w14:textId="517B259F" w:rsidR="00567AD1" w:rsidRPr="009641ED" w:rsidRDefault="00567AD1" w:rsidP="00F06BE3">
      <w:pPr>
        <w:pStyle w:val="FootnoteText"/>
        <w:rPr>
          <w:rFonts w:eastAsiaTheme="minorEastAsia" w:cstheme="minorBidi"/>
        </w:rPr>
      </w:pPr>
      <w:r w:rsidRPr="009641ED">
        <w:rPr>
          <w:rFonts w:eastAsiaTheme="minorEastAsia" w:cstheme="minorBidi"/>
        </w:rPr>
        <w:t xml:space="preserve">* The </w:t>
      </w:r>
      <w:r w:rsidRPr="009641ED">
        <w:rPr>
          <w:rFonts w:eastAsia="Malgun Gothic Semilight"/>
        </w:rPr>
        <w:t xml:space="preserve">Office of Open Government issued an opinion </w:t>
      </w:r>
      <w:r w:rsidR="00CC5A9E">
        <w:rPr>
          <w:rFonts w:eastAsia="Malgun Gothic Semilight"/>
        </w:rPr>
        <w:t xml:space="preserve">in 2013 </w:t>
      </w:r>
      <w:r w:rsidRPr="009641ED">
        <w:rPr>
          <w:rFonts w:eastAsia="Malgun Gothic Semilight"/>
        </w:rPr>
        <w:t>observing that technology has made it feasible for</w:t>
      </w:r>
      <w:r w:rsidR="004C400C" w:rsidRPr="009641ED">
        <w:rPr>
          <w:rFonts w:eastAsia="Malgun Gothic Semilight"/>
        </w:rPr>
        <w:t xml:space="preserve"> </w:t>
      </w:r>
      <w:r w:rsidRPr="009641ED">
        <w:rPr>
          <w:rFonts w:eastAsia="Malgun Gothic Semilight"/>
          <w:i/>
        </w:rPr>
        <w:t>all</w:t>
      </w:r>
      <w:r w:rsidRPr="009641ED">
        <w:rPr>
          <w:rFonts w:eastAsia="Malgun Gothic Semilight"/>
        </w:rPr>
        <w:t xml:space="preserve"> meetings, at a minimum, to be </w:t>
      </w:r>
      <w:r w:rsidR="00CC5A9E">
        <w:rPr>
          <w:rFonts w:eastAsia="Malgun Gothic Semilight"/>
        </w:rPr>
        <w:t>audio-</w:t>
      </w:r>
      <w:r w:rsidRPr="009641ED">
        <w:rPr>
          <w:rFonts w:eastAsia="Malgun Gothic Semilight"/>
        </w:rPr>
        <w:t>recorded</w:t>
      </w:r>
      <w:r w:rsidR="00CC5A9E">
        <w:rPr>
          <w:rFonts w:eastAsia="Malgun Gothic Semilight"/>
        </w:rPr>
        <w:t xml:space="preserve">. </w:t>
      </w:r>
      <w:r w:rsidR="00CC5A9E">
        <w:t xml:space="preserve"> </w:t>
      </w:r>
      <w:hyperlink r:id="rId1" w:history="1">
        <w:r w:rsidR="00CC5A9E" w:rsidRPr="000A2822">
          <w:rPr>
            <w:rStyle w:val="Hyperlink"/>
          </w:rPr>
          <w:t>https://www.open-dc.gov/sites/default/files/12.12.13%20OOG%20Opinon_HPTF_Meeting%20Record_Minutes%20Audio%20Video%20Transcripts.pdf</w:t>
        </w:r>
      </w:hyperlink>
      <w:r w:rsidR="00CC5A9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D900" w14:textId="77777777" w:rsidR="00CC5A9E" w:rsidRDefault="00C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C78A" w14:textId="77777777" w:rsidR="00CC5A9E" w:rsidRDefault="00CC5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07AA" w14:textId="77777777" w:rsidR="00CC5A9E" w:rsidRDefault="00CC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2ED6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F26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309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2B9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B8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BA8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268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26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62D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2C6B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D3274"/>
    <w:multiLevelType w:val="hybridMultilevel"/>
    <w:tmpl w:val="8A2E8D26"/>
    <w:lvl w:ilvl="0" w:tplc="FE70D6D8">
      <w:start w:val="1"/>
      <w:numFmt w:val="bullet"/>
      <w:lvlText w:val="·"/>
      <w:lvlJc w:val="left"/>
      <w:pPr>
        <w:ind w:left="7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B656A6">
      <w:start w:val="1"/>
      <w:numFmt w:val="bullet"/>
      <w:lvlText w:val="o"/>
      <w:lvlJc w:val="left"/>
      <w:pPr>
        <w:tabs>
          <w:tab w:val="left" w:pos="795"/>
        </w:tabs>
        <w:ind w:left="151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2" w:tplc="8558E472">
      <w:start w:val="1"/>
      <w:numFmt w:val="bullet"/>
      <w:lvlText w:val="▪"/>
      <w:lvlJc w:val="left"/>
      <w:pPr>
        <w:tabs>
          <w:tab w:val="left" w:pos="795"/>
        </w:tabs>
        <w:ind w:left="223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3" w:tplc="98E88308">
      <w:start w:val="1"/>
      <w:numFmt w:val="bullet"/>
      <w:lvlText w:val="·"/>
      <w:lvlJc w:val="left"/>
      <w:pPr>
        <w:tabs>
          <w:tab w:val="left" w:pos="795"/>
        </w:tabs>
        <w:ind w:left="29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84507A">
      <w:start w:val="1"/>
      <w:numFmt w:val="bullet"/>
      <w:lvlText w:val="o"/>
      <w:lvlJc w:val="left"/>
      <w:pPr>
        <w:tabs>
          <w:tab w:val="left" w:pos="795"/>
        </w:tabs>
        <w:ind w:left="367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5" w:tplc="EFC0383A">
      <w:start w:val="1"/>
      <w:numFmt w:val="bullet"/>
      <w:lvlText w:val="▪"/>
      <w:lvlJc w:val="left"/>
      <w:pPr>
        <w:tabs>
          <w:tab w:val="left" w:pos="795"/>
        </w:tabs>
        <w:ind w:left="439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6" w:tplc="7264FB40">
      <w:start w:val="1"/>
      <w:numFmt w:val="bullet"/>
      <w:lvlText w:val="·"/>
      <w:lvlJc w:val="left"/>
      <w:pPr>
        <w:tabs>
          <w:tab w:val="left" w:pos="795"/>
        </w:tabs>
        <w:ind w:left="51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2BA6C">
      <w:start w:val="1"/>
      <w:numFmt w:val="bullet"/>
      <w:lvlText w:val="o"/>
      <w:lvlJc w:val="left"/>
      <w:pPr>
        <w:tabs>
          <w:tab w:val="left" w:pos="795"/>
        </w:tabs>
        <w:ind w:left="583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8" w:tplc="635AD0AA">
      <w:start w:val="1"/>
      <w:numFmt w:val="bullet"/>
      <w:lvlText w:val="▪"/>
      <w:lvlJc w:val="left"/>
      <w:pPr>
        <w:tabs>
          <w:tab w:val="left" w:pos="795"/>
        </w:tabs>
        <w:ind w:left="655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274774"/>
    <w:multiLevelType w:val="multilevel"/>
    <w:tmpl w:val="CF6E48E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34D6ECA"/>
    <w:multiLevelType w:val="hybridMultilevel"/>
    <w:tmpl w:val="8A2E8D26"/>
    <w:lvl w:ilvl="0" w:tplc="5F7231F2">
      <w:start w:val="1"/>
      <w:numFmt w:val="bullet"/>
      <w:lvlText w:val="·"/>
      <w:lvlJc w:val="left"/>
      <w:pPr>
        <w:ind w:left="7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B8CF52">
      <w:start w:val="1"/>
      <w:numFmt w:val="bullet"/>
      <w:lvlText w:val="o"/>
      <w:lvlJc w:val="left"/>
      <w:pPr>
        <w:tabs>
          <w:tab w:val="left" w:pos="795"/>
        </w:tabs>
        <w:ind w:left="151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2" w:tplc="0F48ABB4">
      <w:start w:val="1"/>
      <w:numFmt w:val="bullet"/>
      <w:lvlText w:val="▪"/>
      <w:lvlJc w:val="left"/>
      <w:pPr>
        <w:tabs>
          <w:tab w:val="left" w:pos="795"/>
        </w:tabs>
        <w:ind w:left="223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3" w:tplc="B5DC265C">
      <w:start w:val="1"/>
      <w:numFmt w:val="bullet"/>
      <w:lvlText w:val="·"/>
      <w:lvlJc w:val="left"/>
      <w:pPr>
        <w:tabs>
          <w:tab w:val="left" w:pos="795"/>
        </w:tabs>
        <w:ind w:left="29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4442E">
      <w:start w:val="1"/>
      <w:numFmt w:val="bullet"/>
      <w:lvlText w:val="o"/>
      <w:lvlJc w:val="left"/>
      <w:pPr>
        <w:tabs>
          <w:tab w:val="left" w:pos="795"/>
        </w:tabs>
        <w:ind w:left="367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5" w:tplc="0D0E1568">
      <w:start w:val="1"/>
      <w:numFmt w:val="bullet"/>
      <w:lvlText w:val="▪"/>
      <w:lvlJc w:val="left"/>
      <w:pPr>
        <w:tabs>
          <w:tab w:val="left" w:pos="795"/>
        </w:tabs>
        <w:ind w:left="439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6" w:tplc="7B224320">
      <w:start w:val="1"/>
      <w:numFmt w:val="bullet"/>
      <w:lvlText w:val="·"/>
      <w:lvlJc w:val="left"/>
      <w:pPr>
        <w:tabs>
          <w:tab w:val="left" w:pos="795"/>
        </w:tabs>
        <w:ind w:left="51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28446">
      <w:start w:val="1"/>
      <w:numFmt w:val="bullet"/>
      <w:lvlText w:val="o"/>
      <w:lvlJc w:val="left"/>
      <w:pPr>
        <w:tabs>
          <w:tab w:val="left" w:pos="795"/>
        </w:tabs>
        <w:ind w:left="583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8" w:tplc="07BACC88">
      <w:start w:val="1"/>
      <w:numFmt w:val="bullet"/>
      <w:lvlText w:val="▪"/>
      <w:lvlJc w:val="left"/>
      <w:pPr>
        <w:tabs>
          <w:tab w:val="left" w:pos="795"/>
        </w:tabs>
        <w:ind w:left="6555"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6B7179"/>
    <w:multiLevelType w:val="hybridMultilevel"/>
    <w:tmpl w:val="58F8AF2A"/>
    <w:lvl w:ilvl="0" w:tplc="4BA2FF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ACE3DE">
      <w:start w:val="1"/>
      <w:numFmt w:val="bullet"/>
      <w:lvlText w:val="o"/>
      <w:lvlJc w:val="left"/>
      <w:pPr>
        <w:tabs>
          <w:tab w:val="left" w:pos="720"/>
        </w:tabs>
        <w:ind w:left="144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2" w:tplc="53009BB2">
      <w:start w:val="1"/>
      <w:numFmt w:val="bullet"/>
      <w:lvlText w:val="▪"/>
      <w:lvlJc w:val="left"/>
      <w:pPr>
        <w:tabs>
          <w:tab w:val="left" w:pos="720"/>
        </w:tabs>
        <w:ind w:left="216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3" w:tplc="6C7AFC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0EE41E">
      <w:start w:val="1"/>
      <w:numFmt w:val="bullet"/>
      <w:lvlText w:val="o"/>
      <w:lvlJc w:val="left"/>
      <w:pPr>
        <w:tabs>
          <w:tab w:val="left" w:pos="720"/>
        </w:tabs>
        <w:ind w:left="360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5" w:tplc="0880890C">
      <w:start w:val="1"/>
      <w:numFmt w:val="bullet"/>
      <w:lvlText w:val="▪"/>
      <w:lvlJc w:val="left"/>
      <w:pPr>
        <w:tabs>
          <w:tab w:val="left" w:pos="720"/>
        </w:tabs>
        <w:ind w:left="432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6" w:tplc="1E8AFA6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285F18">
      <w:start w:val="1"/>
      <w:numFmt w:val="bullet"/>
      <w:lvlText w:val="o"/>
      <w:lvlJc w:val="left"/>
      <w:pPr>
        <w:tabs>
          <w:tab w:val="left" w:pos="720"/>
        </w:tabs>
        <w:ind w:left="576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8" w:tplc="A8B46F7A">
      <w:start w:val="1"/>
      <w:numFmt w:val="bullet"/>
      <w:lvlText w:val="▪"/>
      <w:lvlJc w:val="left"/>
      <w:pPr>
        <w:tabs>
          <w:tab w:val="left" w:pos="720"/>
        </w:tabs>
        <w:ind w:left="648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BCA3F12"/>
    <w:multiLevelType w:val="hybridMultilevel"/>
    <w:tmpl w:val="58F8AF2A"/>
    <w:lvl w:ilvl="0" w:tplc="4DBEDF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6646BC">
      <w:start w:val="1"/>
      <w:numFmt w:val="bullet"/>
      <w:lvlText w:val="o"/>
      <w:lvlJc w:val="left"/>
      <w:pPr>
        <w:tabs>
          <w:tab w:val="left" w:pos="720"/>
        </w:tabs>
        <w:ind w:left="144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2" w:tplc="12325EFE">
      <w:start w:val="1"/>
      <w:numFmt w:val="bullet"/>
      <w:lvlText w:val="▪"/>
      <w:lvlJc w:val="left"/>
      <w:pPr>
        <w:tabs>
          <w:tab w:val="left" w:pos="720"/>
        </w:tabs>
        <w:ind w:left="216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3" w:tplc="9FB219E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C20F2">
      <w:start w:val="1"/>
      <w:numFmt w:val="bullet"/>
      <w:lvlText w:val="o"/>
      <w:lvlJc w:val="left"/>
      <w:pPr>
        <w:tabs>
          <w:tab w:val="left" w:pos="720"/>
        </w:tabs>
        <w:ind w:left="360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5" w:tplc="5F326020">
      <w:start w:val="1"/>
      <w:numFmt w:val="bullet"/>
      <w:lvlText w:val="▪"/>
      <w:lvlJc w:val="left"/>
      <w:pPr>
        <w:tabs>
          <w:tab w:val="left" w:pos="720"/>
        </w:tabs>
        <w:ind w:left="432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6" w:tplc="FEE2CD6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E0A568">
      <w:start w:val="1"/>
      <w:numFmt w:val="bullet"/>
      <w:lvlText w:val="o"/>
      <w:lvlJc w:val="left"/>
      <w:pPr>
        <w:tabs>
          <w:tab w:val="left" w:pos="720"/>
        </w:tabs>
        <w:ind w:left="576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lvl w:ilvl="8" w:tplc="208017D0">
      <w:start w:val="1"/>
      <w:numFmt w:val="bullet"/>
      <w:lvlText w:val="▪"/>
      <w:lvlJc w:val="left"/>
      <w:pPr>
        <w:tabs>
          <w:tab w:val="left" w:pos="720"/>
        </w:tabs>
        <w:ind w:left="6480" w:hanging="360"/>
      </w:pPr>
      <w:rPr>
        <w:rFonts w:ascii="Malgun Gothic Semilight" w:eastAsia="Malgun Gothic Semilight" w:hAnsi="Malgun Gothic Semilight" w:cs="Malgun Gothic Semilight"/>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09709290">
    <w:abstractNumId w:val="13"/>
  </w:num>
  <w:num w:numId="2" w16cid:durableId="25100917">
    <w:abstractNumId w:val="14"/>
  </w:num>
  <w:num w:numId="3" w16cid:durableId="1232429092">
    <w:abstractNumId w:val="12"/>
  </w:num>
  <w:num w:numId="4" w16cid:durableId="1567912734">
    <w:abstractNumId w:val="10"/>
  </w:num>
  <w:num w:numId="5" w16cid:durableId="820198335">
    <w:abstractNumId w:val="11"/>
  </w:num>
  <w:num w:numId="6" w16cid:durableId="1568832817">
    <w:abstractNumId w:val="11"/>
  </w:num>
  <w:num w:numId="7" w16cid:durableId="2064400751">
    <w:abstractNumId w:val="11"/>
  </w:num>
  <w:num w:numId="8" w16cid:durableId="2039500426">
    <w:abstractNumId w:val="11"/>
  </w:num>
  <w:num w:numId="9" w16cid:durableId="169568798">
    <w:abstractNumId w:val="9"/>
  </w:num>
  <w:num w:numId="10" w16cid:durableId="1247880551">
    <w:abstractNumId w:val="7"/>
  </w:num>
  <w:num w:numId="11" w16cid:durableId="1777598889">
    <w:abstractNumId w:val="6"/>
  </w:num>
  <w:num w:numId="12" w16cid:durableId="116338856">
    <w:abstractNumId w:val="5"/>
  </w:num>
  <w:num w:numId="13" w16cid:durableId="1805461712">
    <w:abstractNumId w:val="4"/>
  </w:num>
  <w:num w:numId="14" w16cid:durableId="453713978">
    <w:abstractNumId w:val="8"/>
  </w:num>
  <w:num w:numId="15" w16cid:durableId="1821919024">
    <w:abstractNumId w:val="3"/>
  </w:num>
  <w:num w:numId="16" w16cid:durableId="1534926682">
    <w:abstractNumId w:val="2"/>
  </w:num>
  <w:num w:numId="17" w16cid:durableId="2098865942">
    <w:abstractNumId w:val="1"/>
  </w:num>
  <w:num w:numId="18" w16cid:durableId="53870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 w:val="False"/>
  </w:docVars>
  <w:rsids>
    <w:rsidRoot w:val="000275AA"/>
    <w:rsid w:val="000275AA"/>
    <w:rsid w:val="00055F29"/>
    <w:rsid w:val="00096B95"/>
    <w:rsid w:val="000A23FD"/>
    <w:rsid w:val="00125BCE"/>
    <w:rsid w:val="00207DA4"/>
    <w:rsid w:val="00233C38"/>
    <w:rsid w:val="00262D7D"/>
    <w:rsid w:val="002E29EC"/>
    <w:rsid w:val="00313232"/>
    <w:rsid w:val="003C426C"/>
    <w:rsid w:val="00463749"/>
    <w:rsid w:val="00471F08"/>
    <w:rsid w:val="004C400C"/>
    <w:rsid w:val="00563289"/>
    <w:rsid w:val="00567AD1"/>
    <w:rsid w:val="00576504"/>
    <w:rsid w:val="00651DFF"/>
    <w:rsid w:val="00705374"/>
    <w:rsid w:val="00771B33"/>
    <w:rsid w:val="00853F2D"/>
    <w:rsid w:val="00882D54"/>
    <w:rsid w:val="008D374F"/>
    <w:rsid w:val="00930982"/>
    <w:rsid w:val="00951294"/>
    <w:rsid w:val="00953D66"/>
    <w:rsid w:val="009641ED"/>
    <w:rsid w:val="009B1847"/>
    <w:rsid w:val="009F37E4"/>
    <w:rsid w:val="00A63BDE"/>
    <w:rsid w:val="00A7278D"/>
    <w:rsid w:val="00A8622F"/>
    <w:rsid w:val="00A958F2"/>
    <w:rsid w:val="00B817C4"/>
    <w:rsid w:val="00BC0945"/>
    <w:rsid w:val="00C06FE8"/>
    <w:rsid w:val="00C53411"/>
    <w:rsid w:val="00C838C7"/>
    <w:rsid w:val="00CC5A9E"/>
    <w:rsid w:val="00CC6019"/>
    <w:rsid w:val="00D05F5A"/>
    <w:rsid w:val="00D26572"/>
    <w:rsid w:val="00D777FC"/>
    <w:rsid w:val="00E42B44"/>
    <w:rsid w:val="00F06BE3"/>
    <w:rsid w:val="00F9596A"/>
    <w:rsid w:val="00FC69E6"/>
    <w:rsid w:val="00FF32FE"/>
    <w:rsid w:val="00FF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1B05D"/>
  <w15:docId w15:val="{27E3748E-1D9A-4A78-90ED-A21081A5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paragraph" w:styleId="Heading1">
    <w:name w:val="heading 1"/>
    <w:basedOn w:val="Normal"/>
    <w:next w:val="Normal"/>
    <w:link w:val="Heading1Char"/>
    <w:uiPriority w:val="99"/>
    <w:unhideWhenUsed/>
    <w:rsid w:val="00A8622F"/>
    <w:pPr>
      <w:keepNext/>
      <w:keepLines/>
      <w:spacing w:before="240"/>
      <w:outlineLvl w:val="0"/>
    </w:pPr>
    <w:rPr>
      <w:color w:val="365F91" w:themeColor="accent1" w:themeShade="BF"/>
      <w:sz w:val="32"/>
      <w:szCs w:val="32"/>
    </w:rPr>
  </w:style>
  <w:style w:type="paragraph" w:styleId="Heading2">
    <w:name w:val="heading 2"/>
    <w:basedOn w:val="Normal"/>
    <w:next w:val="Normal"/>
    <w:link w:val="Heading2Char"/>
    <w:uiPriority w:val="9"/>
    <w:semiHidden/>
    <w:unhideWhenUsed/>
    <w:rsid w:val="00A8622F"/>
    <w:pPr>
      <w:keepNext/>
      <w:keepLines/>
      <w:spacing w:before="40"/>
      <w:outlineLvl w:val="1"/>
    </w:pPr>
    <w:rPr>
      <w:color w:val="365F91" w:themeColor="accent1" w:themeShade="BF"/>
      <w:sz w:val="26"/>
      <w:szCs w:val="26"/>
    </w:rPr>
  </w:style>
  <w:style w:type="paragraph" w:styleId="Heading3">
    <w:name w:val="heading 3"/>
    <w:basedOn w:val="Normal"/>
    <w:next w:val="Normal"/>
    <w:link w:val="Heading3Char"/>
    <w:uiPriority w:val="9"/>
    <w:semiHidden/>
    <w:unhideWhenUsed/>
    <w:qFormat/>
    <w:rsid w:val="00A8622F"/>
    <w:pPr>
      <w:keepNext/>
      <w:keepLines/>
      <w:spacing w:before="40"/>
      <w:outlineLvl w:val="2"/>
    </w:pPr>
    <w:rPr>
      <w:color w:val="243F60" w:themeColor="accent1" w:themeShade="7F"/>
    </w:rPr>
  </w:style>
  <w:style w:type="paragraph" w:styleId="Heading4">
    <w:name w:val="heading 4"/>
    <w:basedOn w:val="Normal"/>
    <w:next w:val="Normal"/>
    <w:link w:val="Heading4Char"/>
    <w:uiPriority w:val="9"/>
    <w:semiHidden/>
    <w:unhideWhenUsed/>
    <w:qFormat/>
    <w:rsid w:val="00A8622F"/>
    <w:pPr>
      <w:keepNext/>
      <w:keepLines/>
      <w:spacing w:before="40"/>
      <w:outlineLvl w:val="3"/>
    </w:pPr>
    <w:rPr>
      <w:i/>
      <w:iCs/>
      <w:color w:val="365F91" w:themeColor="accent1" w:themeShade="BF"/>
    </w:rPr>
  </w:style>
  <w:style w:type="paragraph" w:styleId="Heading5">
    <w:name w:val="heading 5"/>
    <w:basedOn w:val="Normal"/>
    <w:next w:val="Normal"/>
    <w:link w:val="Heading5Char"/>
    <w:uiPriority w:val="9"/>
    <w:semiHidden/>
    <w:unhideWhenUsed/>
    <w:qFormat/>
    <w:rsid w:val="00A8622F"/>
    <w:pPr>
      <w:keepNext/>
      <w:keepLines/>
      <w:spacing w:before="40"/>
      <w:outlineLvl w:val="4"/>
    </w:pPr>
    <w:rPr>
      <w:color w:val="365F91" w:themeColor="accent1" w:themeShade="BF"/>
    </w:rPr>
  </w:style>
  <w:style w:type="paragraph" w:styleId="Heading6">
    <w:name w:val="heading 6"/>
    <w:basedOn w:val="Normal"/>
    <w:next w:val="Normal"/>
    <w:link w:val="Heading6Char"/>
    <w:uiPriority w:val="9"/>
    <w:semiHidden/>
    <w:unhideWhenUsed/>
    <w:qFormat/>
    <w:rsid w:val="00A8622F"/>
    <w:pPr>
      <w:keepNext/>
      <w:keepLines/>
      <w:numPr>
        <w:ilvl w:val="5"/>
        <w:numId w:val="8"/>
      </w:numPr>
      <w:spacing w:before="40"/>
      <w:outlineLvl w:val="5"/>
    </w:pPr>
    <w:rPr>
      <w:color w:val="243F60" w:themeColor="accent1" w:themeShade="7F"/>
    </w:rPr>
  </w:style>
  <w:style w:type="paragraph" w:styleId="Heading7">
    <w:name w:val="heading 7"/>
    <w:basedOn w:val="Normal"/>
    <w:next w:val="Normal"/>
    <w:link w:val="Heading7Char"/>
    <w:uiPriority w:val="9"/>
    <w:semiHidden/>
    <w:unhideWhenUsed/>
    <w:qFormat/>
    <w:rsid w:val="00A8622F"/>
    <w:pPr>
      <w:keepNext/>
      <w:keepLines/>
      <w:numPr>
        <w:ilvl w:val="6"/>
        <w:numId w:val="8"/>
      </w:numPr>
      <w:spacing w:before="40"/>
      <w:outlineLvl w:val="6"/>
    </w:pPr>
    <w:rPr>
      <w:i/>
      <w:iCs/>
      <w:color w:val="243F60" w:themeColor="accent1" w:themeShade="7F"/>
    </w:rPr>
  </w:style>
  <w:style w:type="paragraph" w:styleId="Heading8">
    <w:name w:val="heading 8"/>
    <w:basedOn w:val="Normal"/>
    <w:next w:val="Normal"/>
    <w:link w:val="Heading8Char"/>
    <w:uiPriority w:val="9"/>
    <w:semiHidden/>
    <w:unhideWhenUsed/>
    <w:qFormat/>
    <w:rsid w:val="00A8622F"/>
    <w:pPr>
      <w:keepNext/>
      <w:keepLines/>
      <w:numPr>
        <w:ilvl w:val="7"/>
        <w:numId w:val="8"/>
      </w:numPr>
      <w:spacing w:before="40"/>
      <w:outlineLvl w:val="7"/>
    </w:pPr>
    <w:rPr>
      <w:color w:val="272727" w:themeColor="text1" w:themeTint="D8"/>
      <w:sz w:val="21"/>
      <w:szCs w:val="21"/>
    </w:rPr>
  </w:style>
  <w:style w:type="paragraph" w:styleId="Heading9">
    <w:name w:val="heading 9"/>
    <w:basedOn w:val="Normal"/>
    <w:next w:val="Normal"/>
    <w:link w:val="Heading9Char"/>
    <w:uiPriority w:val="9"/>
    <w:semiHidden/>
    <w:unhideWhenUsed/>
    <w:qFormat/>
    <w:rsid w:val="00A8622F"/>
    <w:pPr>
      <w:keepNext/>
      <w:keepLines/>
      <w:numPr>
        <w:ilvl w:val="8"/>
        <w:numId w:val="8"/>
      </w:numPr>
      <w:spacing w:before="40"/>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A8622F"/>
    <w:rPr>
      <w:sz w:val="16"/>
    </w:rPr>
  </w:style>
  <w:style w:type="paragraph" w:styleId="Footer">
    <w:name w:val="footer"/>
    <w:basedOn w:val="Normal"/>
    <w:link w:val="FooterChar"/>
    <w:uiPriority w:val="99"/>
    <w:unhideWhenUsed/>
    <w:rsid w:val="00A8622F"/>
    <w:pPr>
      <w:tabs>
        <w:tab w:val="center" w:pos="4680"/>
        <w:tab w:val="right" w:pos="9360"/>
      </w:tabs>
    </w:pPr>
  </w:style>
  <w:style w:type="character" w:customStyle="1" w:styleId="FooterChar">
    <w:name w:val="Footer Char"/>
    <w:basedOn w:val="DefaultParagraphFont"/>
    <w:link w:val="Footer"/>
    <w:uiPriority w:val="99"/>
    <w:rsid w:val="00A8622F"/>
    <w:rPr>
      <w:rFonts w:eastAsia="Times New Roman" w:cs="Times New Roman"/>
      <w:sz w:val="24"/>
      <w:szCs w:val="24"/>
      <w:bdr w:val="none" w:sz="0" w:space="0" w:color="auto"/>
      <w:lang w:eastAsia="zh-CN"/>
    </w:rPr>
  </w:style>
  <w:style w:type="paragraph" w:styleId="Header">
    <w:name w:val="header"/>
    <w:basedOn w:val="Normal"/>
    <w:link w:val="HeaderChar"/>
    <w:uiPriority w:val="99"/>
    <w:unhideWhenUsed/>
    <w:rsid w:val="00A8622F"/>
    <w:pPr>
      <w:tabs>
        <w:tab w:val="center" w:pos="4680"/>
        <w:tab w:val="right" w:pos="9360"/>
      </w:tabs>
    </w:pPr>
  </w:style>
  <w:style w:type="character" w:customStyle="1" w:styleId="HeaderChar">
    <w:name w:val="Header Char"/>
    <w:basedOn w:val="DefaultParagraphFont"/>
    <w:link w:val="Header"/>
    <w:uiPriority w:val="99"/>
    <w:rsid w:val="00A8622F"/>
    <w:rPr>
      <w:rFonts w:eastAsia="Times New Roman" w:cs="Times New Roman"/>
      <w:sz w:val="24"/>
      <w:szCs w:val="24"/>
      <w:bdr w:val="none" w:sz="0" w:space="0" w:color="auto"/>
      <w:lang w:eastAsia="zh-CN"/>
    </w:rPr>
  </w:style>
  <w:style w:type="character" w:customStyle="1" w:styleId="Heading1Char">
    <w:name w:val="Heading 1 Char"/>
    <w:basedOn w:val="DefaultParagraphFont"/>
    <w:link w:val="Heading1"/>
    <w:uiPriority w:val="99"/>
    <w:rsid w:val="00A8622F"/>
    <w:rPr>
      <w:rFonts w:ascii="Times New Roman" w:eastAsia="Times New Roman" w:hAnsi="Times New Roman" w:cs="Times New Roman"/>
      <w:color w:val="365F91" w:themeColor="accent1" w:themeShade="BF"/>
      <w:sz w:val="32"/>
      <w:szCs w:val="32"/>
      <w:bdr w:val="none" w:sz="0" w:space="0" w:color="auto"/>
      <w:lang w:eastAsia="zh-CN"/>
    </w:rPr>
  </w:style>
  <w:style w:type="character" w:customStyle="1" w:styleId="Heading2Char">
    <w:name w:val="Heading 2 Char"/>
    <w:basedOn w:val="DefaultParagraphFont"/>
    <w:link w:val="Heading2"/>
    <w:uiPriority w:val="9"/>
    <w:semiHidden/>
    <w:rsid w:val="00A8622F"/>
    <w:rPr>
      <w:rFonts w:ascii="Times New Roman" w:eastAsia="Times New Roman" w:hAnsi="Times New Roman" w:cs="Times New Roman"/>
      <w:color w:val="365F91" w:themeColor="accent1" w:themeShade="BF"/>
      <w:sz w:val="26"/>
      <w:szCs w:val="26"/>
      <w:bdr w:val="none" w:sz="0" w:space="0" w:color="auto"/>
      <w:lang w:eastAsia="zh-CN"/>
    </w:rPr>
  </w:style>
  <w:style w:type="character" w:customStyle="1" w:styleId="Heading3Char">
    <w:name w:val="Heading 3 Char"/>
    <w:basedOn w:val="DefaultParagraphFont"/>
    <w:link w:val="Heading3"/>
    <w:uiPriority w:val="9"/>
    <w:semiHidden/>
    <w:rsid w:val="00A8622F"/>
    <w:rPr>
      <w:rFonts w:ascii="Times New Roman" w:eastAsia="Times New Roman" w:hAnsi="Times New Roman" w:cs="Times New Roman"/>
      <w:color w:val="243F60" w:themeColor="accent1" w:themeShade="7F"/>
      <w:sz w:val="24"/>
      <w:szCs w:val="24"/>
      <w:bdr w:val="none" w:sz="0" w:space="0" w:color="auto"/>
      <w:lang w:eastAsia="zh-CN"/>
    </w:rPr>
  </w:style>
  <w:style w:type="character" w:customStyle="1" w:styleId="Heading4Char">
    <w:name w:val="Heading 4 Char"/>
    <w:basedOn w:val="DefaultParagraphFont"/>
    <w:link w:val="Heading4"/>
    <w:uiPriority w:val="9"/>
    <w:semiHidden/>
    <w:rsid w:val="00A8622F"/>
    <w:rPr>
      <w:rFonts w:ascii="Times New Roman" w:eastAsia="Times New Roman" w:hAnsi="Times New Roman" w:cs="Times New Roman"/>
      <w:i/>
      <w:iCs/>
      <w:color w:val="365F91" w:themeColor="accent1" w:themeShade="BF"/>
      <w:sz w:val="24"/>
      <w:szCs w:val="24"/>
      <w:bdr w:val="none" w:sz="0" w:space="0" w:color="auto"/>
      <w:lang w:eastAsia="zh-CN"/>
    </w:rPr>
  </w:style>
  <w:style w:type="character" w:customStyle="1" w:styleId="Heading5Char">
    <w:name w:val="Heading 5 Char"/>
    <w:basedOn w:val="DefaultParagraphFont"/>
    <w:link w:val="Heading5"/>
    <w:uiPriority w:val="9"/>
    <w:semiHidden/>
    <w:rsid w:val="00A8622F"/>
    <w:rPr>
      <w:rFonts w:ascii="Times New Roman" w:eastAsia="Times New Roman" w:hAnsi="Times New Roman" w:cs="Times New Roman"/>
      <w:color w:val="365F91" w:themeColor="accent1" w:themeShade="BF"/>
      <w:sz w:val="24"/>
      <w:szCs w:val="24"/>
      <w:bdr w:val="none" w:sz="0" w:space="0" w:color="auto"/>
      <w:lang w:eastAsia="zh-CN"/>
    </w:rPr>
  </w:style>
  <w:style w:type="character" w:customStyle="1" w:styleId="Heading6Char">
    <w:name w:val="Heading 6 Char"/>
    <w:basedOn w:val="DefaultParagraphFont"/>
    <w:link w:val="Heading6"/>
    <w:uiPriority w:val="9"/>
    <w:semiHidden/>
    <w:rsid w:val="00A8622F"/>
    <w:rPr>
      <w:rFonts w:ascii="Times New Roman" w:eastAsia="Times New Roman" w:hAnsi="Times New Roman" w:cs="Times New Roman"/>
      <w:color w:val="243F60" w:themeColor="accent1" w:themeShade="7F"/>
      <w:sz w:val="24"/>
      <w:szCs w:val="24"/>
      <w:bdr w:val="none" w:sz="0" w:space="0" w:color="auto"/>
      <w:lang w:eastAsia="zh-CN"/>
    </w:rPr>
  </w:style>
  <w:style w:type="character" w:customStyle="1" w:styleId="Heading7Char">
    <w:name w:val="Heading 7 Char"/>
    <w:basedOn w:val="DefaultParagraphFont"/>
    <w:link w:val="Heading7"/>
    <w:uiPriority w:val="9"/>
    <w:semiHidden/>
    <w:rsid w:val="00A8622F"/>
    <w:rPr>
      <w:rFonts w:ascii="Times New Roman" w:eastAsia="Times New Roman" w:hAnsi="Times New Roman" w:cs="Times New Roman"/>
      <w:i/>
      <w:iCs/>
      <w:color w:val="243F60" w:themeColor="accent1" w:themeShade="7F"/>
      <w:sz w:val="24"/>
      <w:szCs w:val="24"/>
      <w:bdr w:val="none" w:sz="0" w:space="0" w:color="auto"/>
      <w:lang w:eastAsia="zh-CN"/>
    </w:rPr>
  </w:style>
  <w:style w:type="character" w:customStyle="1" w:styleId="Heading8Char">
    <w:name w:val="Heading 8 Char"/>
    <w:basedOn w:val="DefaultParagraphFont"/>
    <w:link w:val="Heading8"/>
    <w:uiPriority w:val="9"/>
    <w:semiHidden/>
    <w:rsid w:val="00A8622F"/>
    <w:rPr>
      <w:rFonts w:ascii="Times New Roman" w:eastAsia="Times New Roman" w:hAnsi="Times New Roman" w:cs="Times New Roman"/>
      <w:color w:val="272727" w:themeColor="text1" w:themeTint="D8"/>
      <w:sz w:val="21"/>
      <w:szCs w:val="21"/>
      <w:bdr w:val="none" w:sz="0" w:space="0" w:color="auto"/>
      <w:lang w:eastAsia="zh-CN"/>
    </w:rPr>
  </w:style>
  <w:style w:type="character" w:customStyle="1" w:styleId="Heading9Char">
    <w:name w:val="Heading 9 Char"/>
    <w:basedOn w:val="DefaultParagraphFont"/>
    <w:link w:val="Heading9"/>
    <w:uiPriority w:val="9"/>
    <w:semiHidden/>
    <w:rsid w:val="00A8622F"/>
    <w:rPr>
      <w:rFonts w:ascii="Times New Roman" w:eastAsia="Times New Roman" w:hAnsi="Times New Roman" w:cs="Times New Roman"/>
      <w:i/>
      <w:iCs/>
      <w:color w:val="272727" w:themeColor="text1" w:themeTint="D8"/>
      <w:sz w:val="21"/>
      <w:szCs w:val="21"/>
      <w:bdr w:val="none" w:sz="0" w:space="0" w:color="auto"/>
      <w:lang w:eastAsia="zh-CN"/>
    </w:rPr>
  </w:style>
  <w:style w:type="paragraph" w:styleId="ListParagraph">
    <w:name w:val="List Paragraph"/>
    <w:basedOn w:val="Normal"/>
    <w:uiPriority w:val="34"/>
    <w:unhideWhenUsed/>
    <w:qFormat/>
    <w:rsid w:val="00A8622F"/>
    <w:pPr>
      <w:ind w:left="720"/>
      <w:contextualSpacing/>
    </w:pPr>
  </w:style>
  <w:style w:type="paragraph" w:styleId="MacroText">
    <w:name w:val="macro"/>
    <w:link w:val="MacroTextChar"/>
    <w:uiPriority w:val="99"/>
    <w:semiHidden/>
    <w:unhideWhenUsed/>
    <w:rsid w:val="00A8622F"/>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4"/>
      <w:bdr w:val="none" w:sz="0" w:space="0" w:color="auto"/>
      <w:lang w:eastAsia="zh-CN"/>
    </w:rPr>
  </w:style>
  <w:style w:type="character" w:customStyle="1" w:styleId="MacroTextChar">
    <w:name w:val="Macro Text Char"/>
    <w:basedOn w:val="DefaultParagraphFont"/>
    <w:link w:val="MacroText"/>
    <w:uiPriority w:val="99"/>
    <w:semiHidden/>
    <w:rsid w:val="00A8622F"/>
    <w:rPr>
      <w:rFonts w:ascii="Consolas" w:eastAsia="Times New Roman" w:hAnsi="Consolas" w:cs="Times New Roman"/>
      <w:sz w:val="24"/>
      <w:bdr w:val="none" w:sz="0" w:space="0" w:color="auto"/>
      <w:lang w:eastAsia="zh-CN"/>
    </w:rPr>
  </w:style>
  <w:style w:type="paragraph" w:customStyle="1" w:styleId="R1Para1S">
    <w:name w:val="R1 Para 1&quot;S"/>
    <w:basedOn w:val="Normal"/>
    <w:rsid w:val="00A8622F"/>
    <w:pPr>
      <w:snapToGrid w:val="0"/>
      <w:spacing w:after="240"/>
      <w:ind w:firstLine="1440"/>
    </w:pPr>
  </w:style>
  <w:style w:type="paragraph" w:customStyle="1" w:styleId="R2Para1D">
    <w:name w:val="R2 Para 1&quot;D"/>
    <w:basedOn w:val="Normal"/>
    <w:rsid w:val="00A8622F"/>
    <w:pPr>
      <w:spacing w:line="480" w:lineRule="auto"/>
      <w:ind w:firstLine="1440"/>
    </w:pPr>
  </w:style>
  <w:style w:type="paragraph" w:customStyle="1" w:styleId="RBBasic">
    <w:name w:val="RB Basic"/>
    <w:basedOn w:val="Normal"/>
    <w:rsid w:val="00A8622F"/>
    <w:pPr>
      <w:snapToGrid w:val="0"/>
      <w:spacing w:after="240"/>
    </w:pPr>
  </w:style>
  <w:style w:type="paragraph" w:customStyle="1" w:styleId="RBNBasicNoSpace">
    <w:name w:val="RBN Basic No Space"/>
    <w:basedOn w:val="Normal"/>
    <w:rsid w:val="00A8622F"/>
  </w:style>
  <w:style w:type="paragraph" w:customStyle="1" w:styleId="RHPara11-12">
    <w:name w:val="RH Para 1&quot; 1-1/2"/>
    <w:basedOn w:val="Normal"/>
    <w:rsid w:val="00A8622F"/>
    <w:pPr>
      <w:snapToGrid w:val="0"/>
      <w:spacing w:line="360" w:lineRule="auto"/>
      <w:ind w:firstLine="1440"/>
    </w:pPr>
  </w:style>
  <w:style w:type="paragraph" w:customStyle="1" w:styleId="RHDPara12D">
    <w:name w:val="RHD Para 1/2&quot; D"/>
    <w:basedOn w:val="Normal"/>
    <w:rsid w:val="00A8622F"/>
    <w:pPr>
      <w:snapToGrid w:val="0"/>
      <w:spacing w:line="480" w:lineRule="auto"/>
      <w:ind w:firstLine="720"/>
    </w:pPr>
  </w:style>
  <w:style w:type="paragraph" w:customStyle="1" w:styleId="RHHPara121-12">
    <w:name w:val="RHH Para 1/2&quot; 1-1/2"/>
    <w:basedOn w:val="Normal"/>
    <w:rsid w:val="00A8622F"/>
    <w:pPr>
      <w:snapToGrid w:val="0"/>
      <w:spacing w:after="120" w:line="360" w:lineRule="auto"/>
      <w:ind w:firstLine="720"/>
    </w:pPr>
  </w:style>
  <w:style w:type="paragraph" w:customStyle="1" w:styleId="RHSPara12S">
    <w:name w:val="RHS Para 1/2&quot; S"/>
    <w:basedOn w:val="Normal"/>
    <w:rsid w:val="00A8622F"/>
    <w:pPr>
      <w:snapToGrid w:val="0"/>
      <w:spacing w:after="240"/>
      <w:ind w:firstLine="720"/>
    </w:pPr>
  </w:style>
  <w:style w:type="character" w:customStyle="1" w:styleId="RibItalicBold">
    <w:name w:val="Rib ItalicBold"/>
    <w:basedOn w:val="DefaultParagraphFont"/>
    <w:uiPriority w:val="1"/>
    <w:rsid w:val="00A8622F"/>
    <w:rPr>
      <w:b/>
      <w:i/>
      <w:caps w:val="0"/>
      <w:smallCaps w:val="0"/>
      <w:strike w:val="0"/>
      <w:dstrike w:val="0"/>
      <w:vanish w:val="0"/>
      <w:vertAlign w:val="baseline"/>
    </w:rPr>
  </w:style>
  <w:style w:type="paragraph" w:customStyle="1" w:styleId="RNDParaNoIndD">
    <w:name w:val="RND Para No Ind D"/>
    <w:basedOn w:val="Normal"/>
    <w:rsid w:val="00A8622F"/>
    <w:pPr>
      <w:snapToGrid w:val="0"/>
      <w:spacing w:line="480" w:lineRule="auto"/>
    </w:pPr>
  </w:style>
  <w:style w:type="paragraph" w:customStyle="1" w:styleId="RNHParaNoIndH">
    <w:name w:val="RNH Para No Ind H"/>
    <w:basedOn w:val="Normal"/>
    <w:rsid w:val="00A8622F"/>
    <w:pPr>
      <w:snapToGrid w:val="0"/>
      <w:spacing w:line="360" w:lineRule="auto"/>
    </w:pPr>
  </w:style>
  <w:style w:type="paragraph" w:customStyle="1" w:styleId="RNSParaNoIndS">
    <w:name w:val="RNS Para No Ind S"/>
    <w:basedOn w:val="Normal"/>
    <w:rsid w:val="00A8622F"/>
    <w:pPr>
      <w:snapToGrid w:val="0"/>
      <w:spacing w:after="240"/>
    </w:pPr>
  </w:style>
  <w:style w:type="paragraph" w:customStyle="1" w:styleId="RQBlockQuote">
    <w:name w:val="RQ Block Quote"/>
    <w:basedOn w:val="Normal"/>
    <w:rsid w:val="00A8622F"/>
    <w:pPr>
      <w:snapToGrid w:val="0"/>
      <w:spacing w:after="240"/>
      <w:ind w:left="1440" w:right="1440"/>
    </w:pPr>
  </w:style>
  <w:style w:type="paragraph" w:customStyle="1" w:styleId="RQIBlockQuInd">
    <w:name w:val="RQI Block Qu Ind"/>
    <w:basedOn w:val="Normal"/>
    <w:rsid w:val="00A8622F"/>
    <w:pPr>
      <w:snapToGrid w:val="0"/>
      <w:spacing w:after="240"/>
      <w:ind w:left="1440" w:right="1440" w:firstLine="720"/>
    </w:pPr>
  </w:style>
  <w:style w:type="paragraph" w:customStyle="1" w:styleId="RSBSubtitle">
    <w:name w:val="RSB Subtitle"/>
    <w:basedOn w:val="Normal"/>
    <w:next w:val="RHDPara12D"/>
    <w:rsid w:val="00F06BE3"/>
    <w:pPr>
      <w:keepNext/>
      <w:keepLines/>
      <w:snapToGrid w:val="0"/>
      <w:spacing w:after="240"/>
    </w:pPr>
    <w:rPr>
      <w:rFonts w:ascii="Times New Roman Bold" w:hAnsi="Times New Roman Bold"/>
      <w:b/>
      <w:sz w:val="26"/>
    </w:rPr>
  </w:style>
  <w:style w:type="paragraph" w:customStyle="1" w:styleId="RSBCSubtitle">
    <w:name w:val="RSBC Subtitle"/>
    <w:basedOn w:val="Normal"/>
    <w:next w:val="RHDPara12D"/>
    <w:rsid w:val="00882D54"/>
    <w:pPr>
      <w:keepNext/>
      <w:keepLines/>
      <w:snapToGrid w:val="0"/>
      <w:spacing w:after="240"/>
      <w:jc w:val="center"/>
    </w:pPr>
    <w:rPr>
      <w:rFonts w:ascii="Arial" w:hAnsi="Arial"/>
      <w:b/>
      <w:sz w:val="26"/>
    </w:rPr>
  </w:style>
  <w:style w:type="paragraph" w:customStyle="1" w:styleId="RSUSubtitle">
    <w:name w:val="RSU Subtitle"/>
    <w:basedOn w:val="Normal"/>
    <w:next w:val="RHDPara12D"/>
    <w:qFormat/>
    <w:rsid w:val="00A8622F"/>
    <w:pPr>
      <w:keepNext/>
      <w:keepLines/>
      <w:snapToGrid w:val="0"/>
      <w:spacing w:after="240"/>
    </w:pPr>
    <w:rPr>
      <w:u w:val="single"/>
    </w:rPr>
  </w:style>
  <w:style w:type="paragraph" w:customStyle="1" w:styleId="RTTitle">
    <w:name w:val="RT Title"/>
    <w:basedOn w:val="Normal"/>
    <w:next w:val="RSBSubtitle"/>
    <w:rsid w:val="00A8622F"/>
    <w:pPr>
      <w:keepNext/>
      <w:keepLines/>
      <w:snapToGrid w:val="0"/>
      <w:spacing w:after="240"/>
      <w:jc w:val="center"/>
    </w:pPr>
    <w:rPr>
      <w:caps/>
    </w:rPr>
  </w:style>
  <w:style w:type="paragraph" w:customStyle="1" w:styleId="RTaPTblPara">
    <w:name w:val="RTaP TblPara"/>
    <w:basedOn w:val="Normal"/>
    <w:rsid w:val="00A8622F"/>
    <w:pPr>
      <w:snapToGrid w:val="0"/>
      <w:spacing w:after="60"/>
    </w:pPr>
  </w:style>
  <w:style w:type="paragraph" w:customStyle="1" w:styleId="RTBTitle">
    <w:name w:val="RTB Title"/>
    <w:basedOn w:val="Normal"/>
    <w:next w:val="RSBSubtitle"/>
    <w:rsid w:val="00F06BE3"/>
    <w:pPr>
      <w:keepNext/>
      <w:keepLines/>
      <w:snapToGrid w:val="0"/>
      <w:spacing w:after="240"/>
      <w:jc w:val="center"/>
    </w:pPr>
    <w:rPr>
      <w:rFonts w:ascii="Times New Roman Bold" w:hAnsi="Times New Roman Bold"/>
      <w:b/>
      <w:caps/>
      <w:sz w:val="26"/>
    </w:rPr>
  </w:style>
  <w:style w:type="paragraph" w:customStyle="1" w:styleId="RTHTblHead">
    <w:name w:val="RTH TblHead"/>
    <w:basedOn w:val="Normal"/>
    <w:rsid w:val="00A8622F"/>
    <w:pPr>
      <w:snapToGrid w:val="0"/>
      <w:spacing w:before="180" w:after="180"/>
    </w:pPr>
    <w:rPr>
      <w:b/>
    </w:rPr>
  </w:style>
  <w:style w:type="paragraph" w:customStyle="1" w:styleId="RTOCTitle">
    <w:name w:val="RTOC Title"/>
    <w:basedOn w:val="Normal"/>
    <w:next w:val="Normal"/>
    <w:rsid w:val="00A8622F"/>
    <w:pPr>
      <w:snapToGrid w:val="0"/>
      <w:spacing w:after="360"/>
      <w:jc w:val="center"/>
    </w:pPr>
    <w:rPr>
      <w:b/>
      <w:caps/>
    </w:rPr>
  </w:style>
  <w:style w:type="paragraph" w:customStyle="1" w:styleId="RTPTOCPage">
    <w:name w:val="RTP TOC Page"/>
    <w:basedOn w:val="Normal"/>
    <w:next w:val="RNSParaNoIndS"/>
    <w:rsid w:val="00A8622F"/>
    <w:pPr>
      <w:snapToGrid w:val="0"/>
      <w:jc w:val="right"/>
    </w:pPr>
    <w:rPr>
      <w:b/>
    </w:rPr>
  </w:style>
  <w:style w:type="paragraph" w:styleId="Title">
    <w:name w:val="Title"/>
    <w:basedOn w:val="Normal"/>
    <w:next w:val="Normal"/>
    <w:link w:val="TitleChar"/>
    <w:uiPriority w:val="22"/>
    <w:unhideWhenUsed/>
    <w:rsid w:val="00A8622F"/>
    <w:pPr>
      <w:spacing w:after="240"/>
      <w:jc w:val="center"/>
    </w:pPr>
    <w:rPr>
      <w:rFonts w:ascii="Arial" w:hAnsi="Arial"/>
      <w:b/>
      <w:sz w:val="44"/>
      <w:szCs w:val="56"/>
    </w:rPr>
  </w:style>
  <w:style w:type="character" w:customStyle="1" w:styleId="TitleChar">
    <w:name w:val="Title Char"/>
    <w:basedOn w:val="DefaultParagraphFont"/>
    <w:link w:val="Title"/>
    <w:uiPriority w:val="22"/>
    <w:rsid w:val="00A8622F"/>
    <w:rPr>
      <w:rFonts w:ascii="Arial" w:eastAsia="Times New Roman" w:hAnsi="Arial" w:cs="Times New Roman"/>
      <w:b/>
      <w:sz w:val="44"/>
      <w:szCs w:val="56"/>
      <w:bdr w:val="none" w:sz="0" w:space="0" w:color="auto"/>
      <w:lang w:eastAsia="zh-CN"/>
    </w:rPr>
  </w:style>
  <w:style w:type="paragraph" w:customStyle="1" w:styleId="OrangeBorder">
    <w:name w:val="Orange Border"/>
    <w:basedOn w:val="Normal"/>
    <w:qFormat/>
    <w:rsid w:val="009641ED"/>
    <w:pPr>
      <w:pBdr>
        <w:top w:val="single" w:sz="48" w:space="12" w:color="FF7A00"/>
      </w:pBdr>
      <w:spacing w:after="360"/>
    </w:pPr>
    <w:rPr>
      <w:rFonts w:eastAsia="Calibri"/>
      <w:szCs w:val="20"/>
      <w:lang w:eastAsia="ja-JP"/>
    </w:rPr>
  </w:style>
  <w:style w:type="paragraph" w:customStyle="1" w:styleId="Subtitle-16pts">
    <w:name w:val="Subtitle - 16 pts"/>
    <w:basedOn w:val="Normal"/>
    <w:qFormat/>
    <w:rsid w:val="00882D54"/>
    <w:pPr>
      <w:spacing w:after="360"/>
      <w:jc w:val="center"/>
    </w:pPr>
    <w:rPr>
      <w:rFonts w:ascii="Arial" w:hAnsi="Arial"/>
      <w:sz w:val="32"/>
    </w:rPr>
  </w:style>
  <w:style w:type="paragraph" w:customStyle="1" w:styleId="RHsParaInd-14pts">
    <w:name w:val="RHs Para Ind - 14 pts"/>
    <w:basedOn w:val="Normal"/>
    <w:qFormat/>
    <w:rsid w:val="00A8622F"/>
    <w:pPr>
      <w:spacing w:after="240"/>
      <w:ind w:left="1440"/>
    </w:pPr>
    <w:rPr>
      <w:i/>
      <w:sz w:val="28"/>
      <w:szCs w:val="28"/>
    </w:rPr>
  </w:style>
  <w:style w:type="paragraph" w:customStyle="1" w:styleId="RSBISubtitle">
    <w:name w:val="RSBI Subtitle"/>
    <w:basedOn w:val="Normal"/>
    <w:qFormat/>
    <w:rsid w:val="00055F29"/>
    <w:pPr>
      <w:keepNext/>
      <w:spacing w:after="240"/>
    </w:pPr>
    <w:rPr>
      <w:rFonts w:ascii="Arial" w:hAnsi="Arial"/>
      <w:b/>
      <w:bCs/>
      <w:i/>
      <w:iCs/>
      <w:color w:val="BF5B00"/>
      <w:sz w:val="26"/>
      <w:szCs w:val="28"/>
    </w:rPr>
  </w:style>
  <w:style w:type="paragraph" w:styleId="ListBullet2">
    <w:name w:val="List Bullet 2"/>
    <w:basedOn w:val="Normal"/>
    <w:uiPriority w:val="99"/>
    <w:unhideWhenUsed/>
    <w:rsid w:val="00F06BE3"/>
    <w:pPr>
      <w:numPr>
        <w:numId w:val="10"/>
      </w:numPr>
      <w:spacing w:after="240"/>
    </w:pPr>
  </w:style>
  <w:style w:type="paragraph" w:styleId="ListBullet">
    <w:name w:val="List Bullet"/>
    <w:basedOn w:val="Normal"/>
    <w:uiPriority w:val="99"/>
    <w:semiHidden/>
    <w:unhideWhenUsed/>
    <w:rsid w:val="00F06BE3"/>
    <w:pPr>
      <w:numPr>
        <w:numId w:val="9"/>
      </w:numPr>
      <w:contextualSpacing/>
    </w:pPr>
  </w:style>
  <w:style w:type="paragraph" w:styleId="FootnoteText">
    <w:name w:val="footnote text"/>
    <w:basedOn w:val="Normal"/>
    <w:link w:val="FootnoteTextChar"/>
    <w:uiPriority w:val="99"/>
    <w:rsid w:val="00F06BE3"/>
    <w:rPr>
      <w:sz w:val="20"/>
      <w:szCs w:val="20"/>
    </w:rPr>
  </w:style>
  <w:style w:type="character" w:customStyle="1" w:styleId="FootnoteTextChar">
    <w:name w:val="Footnote Text Char"/>
    <w:basedOn w:val="DefaultParagraphFont"/>
    <w:link w:val="FootnoteText"/>
    <w:uiPriority w:val="99"/>
    <w:rsid w:val="00F06BE3"/>
    <w:rPr>
      <w:rFonts w:eastAsia="Times New Roman"/>
      <w:bdr w:val="none" w:sz="0" w:space="0" w:color="auto"/>
      <w:lang w:eastAsia="zh-CN"/>
    </w:rPr>
  </w:style>
  <w:style w:type="character" w:customStyle="1" w:styleId="Link">
    <w:name w:val="Link"/>
    <w:rsid w:val="00E42B44"/>
    <w:rPr>
      <w:color w:val="0000FF"/>
      <w:u w:val="single" w:color="0000FF"/>
      <w:lang w:val="en-US"/>
    </w:rPr>
  </w:style>
  <w:style w:type="character" w:styleId="Hyperlink">
    <w:name w:val="Hyperlink"/>
    <w:basedOn w:val="DefaultParagraphFont"/>
    <w:uiPriority w:val="99"/>
    <w:rsid w:val="00E42B44"/>
    <w:rPr>
      <w:color w:val="0000FF" w:themeColor="hyperlink"/>
      <w:u w:val="single"/>
    </w:rPr>
  </w:style>
  <w:style w:type="paragraph" w:customStyle="1" w:styleId="RSBTitle-12pts">
    <w:name w:val="RSB Title-12pts"/>
    <w:basedOn w:val="Normal"/>
    <w:qFormat/>
    <w:rsid w:val="00BC0945"/>
    <w:pPr>
      <w:spacing w:after="240"/>
      <w:jc w:val="center"/>
    </w:pPr>
    <w:rPr>
      <w:b/>
    </w:rPr>
  </w:style>
  <w:style w:type="paragraph" w:styleId="Revision">
    <w:name w:val="Revision"/>
    <w:hidden/>
    <w:uiPriority w:val="99"/>
    <w:semiHidden/>
    <w:rsid w:val="00CC5A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character" w:styleId="UnresolvedMention">
    <w:name w:val="Unresolved Mention"/>
    <w:basedOn w:val="DefaultParagraphFont"/>
    <w:uiPriority w:val="99"/>
    <w:semiHidden/>
    <w:unhideWhenUsed/>
    <w:rsid w:val="00CC5A9E"/>
    <w:rPr>
      <w:color w:val="605E5C"/>
      <w:shd w:val="clear" w:color="auto" w:fill="E1DFDD"/>
    </w:rPr>
  </w:style>
  <w:style w:type="character" w:styleId="FollowedHyperlink">
    <w:name w:val="FollowedHyperlink"/>
    <w:basedOn w:val="DefaultParagraphFont"/>
    <w:uiPriority w:val="99"/>
    <w:semiHidden/>
    <w:unhideWhenUsed/>
    <w:rsid w:val="00FF3C6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pen-dc.gov/public-bodies/meeting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open-dc.gov/public-bod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xmoore\AppData\Local\Microsoft\Windows\INetCache\Content.Outlook\OL2IUV6J\www.dcog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dc.gov/documents/maccca-final-or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cogc.org" TargetMode="External"/><Relationship Id="rId23" Type="http://schemas.openxmlformats.org/officeDocument/2006/relationships/fontTable" Target="fontTable.xml"/><Relationship Id="rId10" Type="http://schemas.openxmlformats.org/officeDocument/2006/relationships/hyperlink" Target="mailto:opengovoffice@d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ms.dccouncil.gov/downloads/LIMS/51944/Meeting1/Enrollment/PR25-0001-Enrollment5.pdf" TargetMode="External"/><Relationship Id="rId14" Type="http://schemas.openxmlformats.org/officeDocument/2006/relationships/hyperlink" Target="https://code.dccouncil.us/dc/council/code/titles/2/chapters/5/subchapters/I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pen-dc.gov/sites/default/files/12.12.13%20OOG%20Opinon_HPTF_Meeting%20Record_Minutes%20Audio%20Video%20Transcripts.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2FF4-B712-4182-BA6D-5D0AC3D9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Susman</dc:creator>
  <cp:lastModifiedBy>Fritz Mulhauser</cp:lastModifiedBy>
  <cp:revision>2</cp:revision>
  <cp:lastPrinted>2019-04-22T22:48:00Z</cp:lastPrinted>
  <dcterms:created xsi:type="dcterms:W3CDTF">2023-03-20T19:32:00Z</dcterms:created>
  <dcterms:modified xsi:type="dcterms:W3CDTF">2023-03-20T19:32:00Z</dcterms:modified>
</cp:coreProperties>
</file>