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93051B"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93051B"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Testimony of the</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pPr>
    </w:p>
    <w:p w14:paraId="5E67BF26" w14:textId="77777777" w:rsidR="00154F8E" w:rsidRPr="00154F8E" w:rsidRDefault="00154F8E" w:rsidP="00154F8E">
      <w:pPr>
        <w:jc w:val="center"/>
      </w:pPr>
      <w:r w:rsidRPr="00154F8E">
        <w:t>by</w:t>
      </w:r>
    </w:p>
    <w:p w14:paraId="4D1D0652" w14:textId="77777777" w:rsidR="00154F8E" w:rsidRPr="00154F8E" w:rsidRDefault="00154F8E" w:rsidP="00154F8E">
      <w:pPr>
        <w:jc w:val="center"/>
      </w:pPr>
    </w:p>
    <w:p w14:paraId="6D8858BE" w14:textId="77777777" w:rsidR="00154F8E" w:rsidRPr="00154F8E" w:rsidRDefault="00154F8E" w:rsidP="00154F8E">
      <w:pPr>
        <w:ind w:left="-360" w:firstLine="360"/>
        <w:jc w:val="center"/>
      </w:pPr>
      <w:r w:rsidRPr="00154F8E">
        <w:t>Fritz Mulhauser</w:t>
      </w:r>
    </w:p>
    <w:p w14:paraId="22C172E0" w14:textId="77777777" w:rsidR="00154F8E" w:rsidRPr="00154F8E" w:rsidRDefault="00154F8E" w:rsidP="00154F8E">
      <w:pPr>
        <w:jc w:val="center"/>
      </w:pPr>
      <w:r w:rsidRPr="00154F8E">
        <w:t xml:space="preserve">Co-Chair, Coalition Legal Committee </w:t>
      </w:r>
    </w:p>
    <w:p w14:paraId="7260CCF8" w14:textId="77777777" w:rsidR="00154F8E" w:rsidRPr="00154F8E" w:rsidRDefault="00154F8E" w:rsidP="00154F8E">
      <w:pPr>
        <w:jc w:val="center"/>
      </w:pPr>
    </w:p>
    <w:p w14:paraId="06A43EE2" w14:textId="77777777" w:rsidR="00154F8E" w:rsidRPr="00154F8E" w:rsidRDefault="00154F8E" w:rsidP="00154F8E">
      <w:pPr>
        <w:jc w:val="center"/>
        <w:rPr>
          <w:b/>
          <w:bCs/>
        </w:rPr>
      </w:pPr>
      <w:r w:rsidRPr="00154F8E">
        <w:t>Before the</w:t>
      </w:r>
    </w:p>
    <w:p w14:paraId="660D1015" w14:textId="23515718" w:rsidR="00154F8E" w:rsidRDefault="00256365" w:rsidP="00154F8E">
      <w:pPr>
        <w:jc w:val="center"/>
        <w:rPr>
          <w:bCs/>
        </w:rPr>
      </w:pPr>
      <w:r w:rsidRPr="00154F8E">
        <w:rPr>
          <w:bCs/>
        </w:rPr>
        <w:t>Council of the District of Columbia</w:t>
      </w:r>
      <w:r w:rsidR="009C395B">
        <w:rPr>
          <w:bCs/>
        </w:rPr>
        <w:t xml:space="preserve">, </w:t>
      </w:r>
      <w:r w:rsidR="00154F8E" w:rsidRPr="00154F8E">
        <w:rPr>
          <w:bCs/>
        </w:rPr>
        <w:t xml:space="preserve">Committee on </w:t>
      </w:r>
      <w:r w:rsidR="00A77C2F">
        <w:rPr>
          <w:bCs/>
        </w:rPr>
        <w:t>Government Operations &amp; Facilities</w:t>
      </w:r>
      <w:r w:rsidR="00154F8E" w:rsidRPr="00154F8E">
        <w:rPr>
          <w:bCs/>
        </w:rPr>
        <w:t xml:space="preserve"> </w:t>
      </w:r>
    </w:p>
    <w:p w14:paraId="0457525D" w14:textId="77777777" w:rsidR="00C97DA0" w:rsidRPr="00154F8E" w:rsidRDefault="00C97DA0" w:rsidP="00154F8E">
      <w:pPr>
        <w:jc w:val="center"/>
        <w:rPr>
          <w:bCs/>
        </w:rPr>
      </w:pPr>
    </w:p>
    <w:p w14:paraId="3DA521DE" w14:textId="07A65272" w:rsidR="00EC209D" w:rsidRPr="00EC209D" w:rsidRDefault="00935B22" w:rsidP="00EC209D">
      <w:pPr>
        <w:jc w:val="center"/>
      </w:pPr>
      <w:r>
        <w:t>FY 2</w:t>
      </w:r>
      <w:r w:rsidR="004D0E53">
        <w:t xml:space="preserve">3 Budget </w:t>
      </w:r>
      <w:r w:rsidR="00943CF6">
        <w:t xml:space="preserve">Oversight – </w:t>
      </w:r>
      <w:r w:rsidR="00A77C2F">
        <w:t>Office of the Chief Technology Officer</w:t>
      </w:r>
    </w:p>
    <w:p w14:paraId="71A0CD68" w14:textId="03110756" w:rsidR="00EC209D" w:rsidRPr="00EC209D" w:rsidRDefault="00EC209D" w:rsidP="00EC209D">
      <w:pPr>
        <w:jc w:val="center"/>
      </w:pPr>
    </w:p>
    <w:p w14:paraId="47DF3CF4" w14:textId="0438B7CD" w:rsidR="00207E93" w:rsidRDefault="004D0E53" w:rsidP="00943CF6">
      <w:pPr>
        <w:jc w:val="center"/>
      </w:pPr>
      <w:r>
        <w:t>March 29</w:t>
      </w:r>
      <w:r w:rsidR="00943CF6">
        <w:t xml:space="preserve">, 2022 </w:t>
      </w:r>
    </w:p>
    <w:p w14:paraId="6D02D879" w14:textId="2BDF7630" w:rsidR="00154F8E" w:rsidRDefault="00256365" w:rsidP="00943CF6">
      <w:pPr>
        <w:jc w:val="center"/>
      </w:pPr>
      <w:r>
        <w:t>____</w:t>
      </w:r>
      <w:r w:rsidR="00154F8E" w:rsidRPr="00E07413">
        <w:t>______________</w:t>
      </w:r>
      <w:r w:rsidR="00C97DA0">
        <w:t>__</w:t>
      </w:r>
      <w:r w:rsidR="00154F8E" w:rsidRPr="00E07413">
        <w:t>_______</w:t>
      </w:r>
      <w:r w:rsidR="00154F8E">
        <w:t>___________</w:t>
      </w:r>
      <w:r w:rsidR="00154F8E" w:rsidRPr="00E07413">
        <w:t>_______</w:t>
      </w:r>
      <w:r w:rsidR="00723C91">
        <w:t>_</w:t>
      </w:r>
      <w:r w:rsidR="00154F8E" w:rsidRPr="00E07413">
        <w:t>________</w:t>
      </w:r>
      <w:r w:rsidR="00154F8E">
        <w:t>____</w:t>
      </w:r>
      <w:r w:rsidR="00154F8E" w:rsidRPr="00E07413">
        <w:t>__________________</w:t>
      </w:r>
      <w:r w:rsidR="00EC209D">
        <w:t>_____</w:t>
      </w:r>
      <w:r w:rsidR="00154F8E" w:rsidRPr="00E07413">
        <w:t>___</w:t>
      </w:r>
    </w:p>
    <w:p w14:paraId="21378DCC" w14:textId="0372ACC1" w:rsidR="00154F8E" w:rsidRPr="00E07413" w:rsidRDefault="00154F8E" w:rsidP="00154F8E"/>
    <w:p w14:paraId="2F9EE73D" w14:textId="02077FA7" w:rsidR="00723C91" w:rsidRDefault="00040D4C" w:rsidP="00260528">
      <w:r>
        <w:t xml:space="preserve">Thank you for the opportunity to </w:t>
      </w:r>
      <w:r w:rsidR="0048463E">
        <w:t xml:space="preserve">follow up our performance oversight testimony and </w:t>
      </w:r>
      <w:r>
        <w:t xml:space="preserve">provide </w:t>
      </w:r>
      <w:r w:rsidR="0048463E">
        <w:t xml:space="preserve">related </w:t>
      </w:r>
      <w:r>
        <w:t xml:space="preserve">views on the </w:t>
      </w:r>
      <w:r w:rsidR="004D0E53">
        <w:t xml:space="preserve">budget </w:t>
      </w:r>
      <w:r>
        <w:t xml:space="preserve">of the </w:t>
      </w:r>
      <w:r w:rsidR="00A77C2F">
        <w:t xml:space="preserve">Office of </w:t>
      </w:r>
      <w:r w:rsidR="00723C91">
        <w:t>t</w:t>
      </w:r>
      <w:r w:rsidR="00A77C2F">
        <w:t>he Chief Technology Office</w:t>
      </w:r>
      <w:r w:rsidR="00915E8E">
        <w:t>r</w:t>
      </w:r>
      <w:r w:rsidR="00A77C2F">
        <w:t xml:space="preserve"> (OCTO)</w:t>
      </w:r>
      <w:r w:rsidR="00723C91">
        <w:t>.</w:t>
      </w:r>
    </w:p>
    <w:p w14:paraId="3FFBB9FA" w14:textId="77777777" w:rsidR="00723C91" w:rsidRDefault="00723C91" w:rsidP="00260528"/>
    <w:p w14:paraId="0A887E8F" w14:textId="76013829" w:rsidR="004A5141" w:rsidRDefault="0048463E" w:rsidP="00260528">
      <w:r>
        <w:t>In February we discussed our Coalition’s concerns about one piece of technology</w:t>
      </w:r>
      <w:r w:rsidR="004A5141">
        <w:t xml:space="preserve">. It’s the online platform </w:t>
      </w:r>
      <w:r w:rsidR="00B63187">
        <w:t xml:space="preserve">or “portal” </w:t>
      </w:r>
      <w:r w:rsidR="004A5141">
        <w:t xml:space="preserve">called FOIAXpress. </w:t>
      </w:r>
      <w:r w:rsidR="007713D9">
        <w:t xml:space="preserve">D.C. </w:t>
      </w:r>
      <w:r w:rsidR="004A5141">
        <w:t xml:space="preserve">government </w:t>
      </w:r>
      <w:r w:rsidR="007713D9">
        <w:t xml:space="preserve">has used the software since 2014 </w:t>
      </w:r>
      <w:r w:rsidR="004A5141">
        <w:t xml:space="preserve">under a contract </w:t>
      </w:r>
      <w:r w:rsidR="007713D9">
        <w:t>with a private firm in Maryland (the latest three-year extension costing $750,000). Thousands of requesters each year use it, with considerable frustration for many</w:t>
      </w:r>
      <w:r w:rsidR="00896285">
        <w:t xml:space="preserve">, to ask </w:t>
      </w:r>
      <w:r w:rsidR="00B63187">
        <w:t>public bodies f</w:t>
      </w:r>
      <w:r w:rsidR="00896285">
        <w:t xml:space="preserve">or government </w:t>
      </w:r>
      <w:r>
        <w:t xml:space="preserve">records that must </w:t>
      </w:r>
      <w:r w:rsidR="002355BB">
        <w:t xml:space="preserve">under the Freedom of Information Act </w:t>
      </w:r>
      <w:r>
        <w:t>provide them</w:t>
      </w:r>
      <w:r w:rsidR="00896285">
        <w:t>,</w:t>
      </w:r>
      <w:r w:rsidR="002355BB">
        <w:t xml:space="preserve"> with limited exemptions</w:t>
      </w:r>
      <w:r>
        <w:t xml:space="preserve">. </w:t>
      </w:r>
      <w:r w:rsidR="002355BB">
        <w:t xml:space="preserve">The platform collects requester and request details, </w:t>
      </w:r>
      <w:r w:rsidR="007713D9">
        <w:t>c</w:t>
      </w:r>
      <w:r w:rsidR="002355BB">
        <w:t>onnects requests to the right office in any of dozens of agencies</w:t>
      </w:r>
      <w:r w:rsidR="007713D9">
        <w:t>,</w:t>
      </w:r>
      <w:r w:rsidR="002355BB">
        <w:t xml:space="preserve"> and helps both requester and agency track the rest of the process. </w:t>
      </w:r>
      <w:r w:rsidR="007713D9">
        <w:t>No complex eligibility</w:t>
      </w:r>
      <w:r w:rsidR="00B63187">
        <w:t>, fee, or other</w:t>
      </w:r>
      <w:r w:rsidR="007713D9">
        <w:t xml:space="preserve"> determination is involved at the request portal stage; all evaluation of each request is done within the staff of the specific agency addressed.</w:t>
      </w:r>
    </w:p>
    <w:p w14:paraId="12975DE9" w14:textId="77777777" w:rsidR="004A5141" w:rsidRDefault="004A5141" w:rsidP="00260528"/>
    <w:p w14:paraId="518801D3" w14:textId="502C00B8" w:rsidR="0048463E" w:rsidRDefault="0048463E" w:rsidP="00260528">
      <w:r>
        <w:t>We explained the problems</w:t>
      </w:r>
      <w:r w:rsidR="00A831BA">
        <w:rPr>
          <w:rStyle w:val="FootnoteReference"/>
        </w:rPr>
        <w:footnoteReference w:id="1"/>
      </w:r>
      <w:r>
        <w:t xml:space="preserve"> and why doing better </w:t>
      </w:r>
      <w:r w:rsidR="00D44CF8">
        <w:t xml:space="preserve">matters: </w:t>
      </w:r>
      <w:r>
        <w:t>e</w:t>
      </w:r>
      <w:r>
        <w:t>fficient access to the government</w:t>
      </w:r>
      <w:r w:rsidR="002355BB">
        <w:t>’s records</w:t>
      </w:r>
      <w:r>
        <w:t xml:space="preserve"> is one way </w:t>
      </w:r>
      <w:r w:rsidR="002355BB">
        <w:t xml:space="preserve">to </w:t>
      </w:r>
      <w:r>
        <w:t>build trust and elicit informed participation.</w:t>
      </w:r>
    </w:p>
    <w:p w14:paraId="41E77A10" w14:textId="77777777" w:rsidR="0048463E" w:rsidRDefault="0048463E" w:rsidP="00260528"/>
    <w:p w14:paraId="20973BDF" w14:textId="77777777" w:rsidR="00B123D9" w:rsidRDefault="00B123D9" w:rsidP="00260528"/>
    <w:p w14:paraId="1A07AA64" w14:textId="77777777" w:rsidR="00B123D9" w:rsidRDefault="00B123D9" w:rsidP="00260528"/>
    <w:p w14:paraId="3B5BDD1F" w14:textId="4D688987" w:rsidR="005E6CF3" w:rsidRDefault="005E6CF3" w:rsidP="00260528">
      <w:r>
        <w:lastRenderedPageBreak/>
        <w:t>Our Coalition today has two requests for the Committee:</w:t>
      </w:r>
    </w:p>
    <w:p w14:paraId="5F6289DA" w14:textId="659D788C" w:rsidR="005E6CF3" w:rsidRDefault="005E6CF3" w:rsidP="005E6CF3">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f</w:t>
      </w:r>
      <w:r w:rsidRPr="005E6CF3">
        <w:rPr>
          <w:rFonts w:ascii="Times New Roman" w:eastAsia="Times New Roman" w:hAnsi="Times New Roman" w:cs="Times New Roman"/>
        </w:rPr>
        <w:t>irst</w:t>
      </w:r>
      <w:r>
        <w:rPr>
          <w:rFonts w:ascii="Times New Roman" w:eastAsia="Times New Roman" w:hAnsi="Times New Roman" w:cs="Times New Roman"/>
        </w:rPr>
        <w:t>,</w:t>
      </w:r>
      <w:r w:rsidRPr="005E6CF3">
        <w:rPr>
          <w:rFonts w:ascii="Times New Roman" w:eastAsia="Times New Roman" w:hAnsi="Times New Roman" w:cs="Times New Roman"/>
        </w:rPr>
        <w:t xml:space="preserve"> </w:t>
      </w:r>
      <w:r w:rsidR="00A831BA">
        <w:rPr>
          <w:rFonts w:ascii="Times New Roman" w:eastAsia="Times New Roman" w:hAnsi="Times New Roman" w:cs="Times New Roman"/>
        </w:rPr>
        <w:t xml:space="preserve">to </w:t>
      </w:r>
      <w:r w:rsidR="008B0762">
        <w:rPr>
          <w:rFonts w:ascii="Times New Roman" w:eastAsia="Times New Roman" w:hAnsi="Times New Roman" w:cs="Times New Roman"/>
        </w:rPr>
        <w:t>assign responsibility and resources to fix the platform</w:t>
      </w:r>
      <w:r w:rsidR="003B59F8">
        <w:rPr>
          <w:rFonts w:ascii="Times New Roman" w:eastAsia="Times New Roman" w:hAnsi="Times New Roman" w:cs="Times New Roman"/>
        </w:rPr>
        <w:t xml:space="preserve"> to </w:t>
      </w:r>
      <w:r w:rsidR="00C219D0">
        <w:rPr>
          <w:rFonts w:ascii="Times New Roman" w:eastAsia="Times New Roman" w:hAnsi="Times New Roman" w:cs="Times New Roman"/>
        </w:rPr>
        <w:t xml:space="preserve">correct the many incorrect features noted in the recent Office of Open Government review and to evaluate </w:t>
      </w:r>
      <w:r w:rsidR="00B63187">
        <w:rPr>
          <w:rFonts w:ascii="Times New Roman" w:eastAsia="Times New Roman" w:hAnsi="Times New Roman" w:cs="Times New Roman"/>
        </w:rPr>
        <w:t xml:space="preserve">and implement </w:t>
      </w:r>
      <w:r w:rsidR="00C219D0">
        <w:rPr>
          <w:rFonts w:ascii="Times New Roman" w:eastAsia="Times New Roman" w:hAnsi="Times New Roman" w:cs="Times New Roman"/>
        </w:rPr>
        <w:t xml:space="preserve">opportunities to </w:t>
      </w:r>
      <w:r w:rsidR="003B59F8">
        <w:rPr>
          <w:rFonts w:ascii="Times New Roman" w:eastAsia="Times New Roman" w:hAnsi="Times New Roman" w:cs="Times New Roman"/>
        </w:rPr>
        <w:t>enhance requesters’ experience</w:t>
      </w:r>
      <w:r w:rsidR="008B0762">
        <w:rPr>
          <w:rFonts w:ascii="Times New Roman" w:eastAsia="Times New Roman" w:hAnsi="Times New Roman" w:cs="Times New Roman"/>
        </w:rPr>
        <w:t xml:space="preserve">; </w:t>
      </w:r>
    </w:p>
    <w:p w14:paraId="32F7046A" w14:textId="2F62B484" w:rsidR="00A831BA" w:rsidRDefault="005E6CF3" w:rsidP="00A831BA">
      <w:pPr>
        <w:pStyle w:val="ListParagraph"/>
        <w:numPr>
          <w:ilvl w:val="0"/>
          <w:numId w:val="22"/>
        </w:numPr>
        <w:rPr>
          <w:rFonts w:ascii="Times New Roman" w:eastAsia="Times New Roman" w:hAnsi="Times New Roman" w:cs="Times New Roman"/>
        </w:rPr>
      </w:pPr>
      <w:r w:rsidRPr="005E6CF3">
        <w:rPr>
          <w:rFonts w:ascii="Times New Roman" w:eastAsia="Times New Roman" w:hAnsi="Times New Roman" w:cs="Times New Roman"/>
        </w:rPr>
        <w:t xml:space="preserve">second, </w:t>
      </w:r>
      <w:r>
        <w:rPr>
          <w:rFonts w:ascii="Times New Roman" w:eastAsia="Times New Roman" w:hAnsi="Times New Roman" w:cs="Times New Roman"/>
        </w:rPr>
        <w:t xml:space="preserve">to </w:t>
      </w:r>
      <w:r w:rsidR="008B0762">
        <w:rPr>
          <w:rFonts w:ascii="Times New Roman" w:eastAsia="Times New Roman" w:hAnsi="Times New Roman" w:cs="Times New Roman"/>
        </w:rPr>
        <w:t>le</w:t>
      </w:r>
      <w:r w:rsidR="00C219D0">
        <w:rPr>
          <w:rFonts w:ascii="Times New Roman" w:eastAsia="Times New Roman" w:hAnsi="Times New Roman" w:cs="Times New Roman"/>
        </w:rPr>
        <w:t>arn from this case study</w:t>
      </w:r>
      <w:r w:rsidR="00716EF0">
        <w:rPr>
          <w:rFonts w:ascii="Times New Roman" w:eastAsia="Times New Roman" w:hAnsi="Times New Roman" w:cs="Times New Roman"/>
        </w:rPr>
        <w:t xml:space="preserve"> of years of inattention to a troubled public web interface</w:t>
      </w:r>
      <w:r w:rsidR="00C219D0">
        <w:rPr>
          <w:rFonts w:ascii="Times New Roman" w:eastAsia="Times New Roman" w:hAnsi="Times New Roman" w:cs="Times New Roman"/>
        </w:rPr>
        <w:t>, and to le</w:t>
      </w:r>
      <w:r w:rsidR="008B0762">
        <w:rPr>
          <w:rFonts w:ascii="Times New Roman" w:eastAsia="Times New Roman" w:hAnsi="Times New Roman" w:cs="Times New Roman"/>
        </w:rPr>
        <w:t xml:space="preserve">gislate so that </w:t>
      </w:r>
      <w:r w:rsidR="003B59F8">
        <w:rPr>
          <w:rFonts w:ascii="Times New Roman" w:eastAsia="Times New Roman" w:hAnsi="Times New Roman" w:cs="Times New Roman"/>
        </w:rPr>
        <w:t>customer experience i</w:t>
      </w:r>
      <w:r w:rsidR="00716EF0">
        <w:rPr>
          <w:rFonts w:ascii="Times New Roman" w:eastAsia="Times New Roman" w:hAnsi="Times New Roman" w:cs="Times New Roman"/>
        </w:rPr>
        <w:t>n future i</w:t>
      </w:r>
      <w:r w:rsidR="003B59F8">
        <w:rPr>
          <w:rFonts w:ascii="Times New Roman" w:eastAsia="Times New Roman" w:hAnsi="Times New Roman" w:cs="Times New Roman"/>
        </w:rPr>
        <w:t>s central in service delivery generally, and especially in digital services.</w:t>
      </w:r>
      <w:r w:rsidR="008B0762">
        <w:rPr>
          <w:rFonts w:ascii="Times New Roman" w:eastAsia="Times New Roman" w:hAnsi="Times New Roman" w:cs="Times New Roman"/>
        </w:rPr>
        <w:t xml:space="preserve">  </w:t>
      </w:r>
      <w:r w:rsidR="00A831BA">
        <w:rPr>
          <w:rFonts w:ascii="Times New Roman" w:eastAsia="Times New Roman" w:hAnsi="Times New Roman" w:cs="Times New Roman"/>
        </w:rPr>
        <w:t xml:space="preserve"> </w:t>
      </w:r>
    </w:p>
    <w:p w14:paraId="2CCE4648" w14:textId="77777777" w:rsidR="00A831BA" w:rsidRDefault="00A831BA" w:rsidP="00A831BA"/>
    <w:p w14:paraId="0B829CE5" w14:textId="49CE93F9" w:rsidR="003B59F8" w:rsidRDefault="003B59F8" w:rsidP="00A831BA">
      <w:r>
        <w:t>We have ideas about both.</w:t>
      </w:r>
    </w:p>
    <w:p w14:paraId="53EC9ADD" w14:textId="77777777" w:rsidR="003B59F8" w:rsidRDefault="003B59F8" w:rsidP="00A831BA"/>
    <w:p w14:paraId="725D91E7" w14:textId="77777777" w:rsidR="003B59F8" w:rsidRPr="003B59F8" w:rsidRDefault="003B59F8" w:rsidP="003B59F8">
      <w:pPr>
        <w:pStyle w:val="ListParagraph"/>
        <w:numPr>
          <w:ilvl w:val="0"/>
          <w:numId w:val="23"/>
        </w:numPr>
        <w:ind w:left="360" w:hanging="360"/>
        <w:rPr>
          <w:rFonts w:ascii="Times New Roman" w:eastAsia="Times New Roman" w:hAnsi="Times New Roman" w:cs="Times New Roman"/>
          <w:b/>
          <w:bCs/>
          <w:u w:val="single"/>
        </w:rPr>
      </w:pPr>
      <w:r w:rsidRPr="003B59F8">
        <w:rPr>
          <w:rFonts w:ascii="Times New Roman" w:eastAsia="Times New Roman" w:hAnsi="Times New Roman" w:cs="Times New Roman"/>
          <w:b/>
          <w:bCs/>
          <w:u w:val="single"/>
        </w:rPr>
        <w:t>Fix the FOIAXpress platform</w:t>
      </w:r>
    </w:p>
    <w:p w14:paraId="18DD5277" w14:textId="4699BA80" w:rsidR="003B59F8" w:rsidRDefault="003B59F8" w:rsidP="003B59F8"/>
    <w:p w14:paraId="531DFCEC" w14:textId="4EB1B6AC" w:rsidR="00161B0A" w:rsidRDefault="00DF5E5E" w:rsidP="00B32A22">
      <w:r>
        <w:t xml:space="preserve">We can think of two ways </w:t>
      </w:r>
      <w:r w:rsidR="00161B0A">
        <w:t>to get focus and resources that have been lacking:</w:t>
      </w:r>
      <w:r>
        <w:t xml:space="preserve"> </w:t>
      </w:r>
    </w:p>
    <w:p w14:paraId="0BC75435" w14:textId="77777777" w:rsidR="00161B0A" w:rsidRDefault="00161B0A" w:rsidP="00161B0A">
      <w:pPr>
        <w:pStyle w:val="ListParagraph"/>
        <w:numPr>
          <w:ilvl w:val="0"/>
          <w:numId w:val="24"/>
        </w:numPr>
        <w:rPr>
          <w:rFonts w:ascii="Times New Roman" w:eastAsia="Times New Roman" w:hAnsi="Times New Roman" w:cs="Times New Roman"/>
        </w:rPr>
      </w:pPr>
      <w:r w:rsidRPr="00161B0A">
        <w:rPr>
          <w:rFonts w:ascii="Times New Roman" w:eastAsia="Times New Roman" w:hAnsi="Times New Roman" w:cs="Times New Roman"/>
        </w:rPr>
        <w:t xml:space="preserve">leave </w:t>
      </w:r>
      <w:r>
        <w:rPr>
          <w:rFonts w:ascii="Times New Roman" w:eastAsia="Times New Roman" w:hAnsi="Times New Roman" w:cs="Times New Roman"/>
        </w:rPr>
        <w:t>FOIAXpress</w:t>
      </w:r>
      <w:r w:rsidRPr="00161B0A">
        <w:rPr>
          <w:rFonts w:ascii="Times New Roman" w:eastAsia="Times New Roman" w:hAnsi="Times New Roman" w:cs="Times New Roman"/>
        </w:rPr>
        <w:t xml:space="preserve"> with OCTO but give them what they need to do the job </w:t>
      </w:r>
      <w:r>
        <w:rPr>
          <w:rFonts w:ascii="Times New Roman" w:eastAsia="Times New Roman" w:hAnsi="Times New Roman" w:cs="Times New Roman"/>
        </w:rPr>
        <w:t xml:space="preserve">of </w:t>
      </w:r>
      <w:r w:rsidRPr="00161B0A">
        <w:rPr>
          <w:rFonts w:ascii="Times New Roman" w:eastAsia="Times New Roman" w:hAnsi="Times New Roman" w:cs="Times New Roman"/>
        </w:rPr>
        <w:t>evaluation and improvement</w:t>
      </w:r>
      <w:r>
        <w:rPr>
          <w:rFonts w:ascii="Times New Roman" w:eastAsia="Times New Roman" w:hAnsi="Times New Roman" w:cs="Times New Roman"/>
        </w:rPr>
        <w:t>; or</w:t>
      </w:r>
    </w:p>
    <w:p w14:paraId="0AFD8867" w14:textId="6B794D78" w:rsidR="00B32A22" w:rsidRPr="00161B0A" w:rsidRDefault="00161B0A" w:rsidP="00161B0A">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assign FOIAXpress </w:t>
      </w:r>
      <w:r w:rsidRPr="00161B0A">
        <w:rPr>
          <w:rFonts w:ascii="Times New Roman" w:eastAsia="Times New Roman" w:hAnsi="Times New Roman" w:cs="Times New Roman"/>
        </w:rPr>
        <w:t xml:space="preserve">to another agency, </w:t>
      </w:r>
      <w:r>
        <w:rPr>
          <w:rFonts w:ascii="Times New Roman" w:eastAsia="Times New Roman" w:hAnsi="Times New Roman" w:cs="Times New Roman"/>
        </w:rPr>
        <w:t xml:space="preserve">also </w:t>
      </w:r>
      <w:r w:rsidRPr="00161B0A">
        <w:rPr>
          <w:rFonts w:ascii="Times New Roman" w:eastAsia="Times New Roman" w:hAnsi="Times New Roman" w:cs="Times New Roman"/>
        </w:rPr>
        <w:t>with the necessary contract and staff budget</w:t>
      </w:r>
      <w:r>
        <w:rPr>
          <w:rFonts w:ascii="Times New Roman" w:eastAsia="Times New Roman" w:hAnsi="Times New Roman" w:cs="Times New Roman"/>
        </w:rPr>
        <w:t>.</w:t>
      </w:r>
    </w:p>
    <w:p w14:paraId="3B66917D" w14:textId="77777777" w:rsidR="00B32A22" w:rsidRDefault="00B32A22" w:rsidP="00B32A22"/>
    <w:p w14:paraId="378B9E8B" w14:textId="77777777" w:rsidR="00B63187" w:rsidRDefault="00550E11" w:rsidP="003B59F8">
      <w:r>
        <w:t xml:space="preserve">Along with </w:t>
      </w:r>
      <w:r w:rsidR="006A1ED6">
        <w:t xml:space="preserve">almost </w:t>
      </w:r>
      <w:r>
        <w:t xml:space="preserve">every other </w:t>
      </w:r>
      <w:r w:rsidR="006A1ED6">
        <w:t xml:space="preserve">general policy and program </w:t>
      </w:r>
      <w:r>
        <w:t xml:space="preserve">aspect of the </w:t>
      </w:r>
      <w:r w:rsidR="000A0107">
        <w:t>D.C. Freedom of Information Act</w:t>
      </w:r>
      <w:r w:rsidR="001A3D13">
        <w:t>, t</w:t>
      </w:r>
      <w:r w:rsidR="001A3D13">
        <w:t xml:space="preserve">he </w:t>
      </w:r>
      <w:r>
        <w:t xml:space="preserve">request </w:t>
      </w:r>
      <w:r w:rsidR="001A3D13">
        <w:t xml:space="preserve">platform </w:t>
      </w:r>
      <w:r w:rsidR="001A3D13">
        <w:t xml:space="preserve">is not </w:t>
      </w:r>
      <w:r w:rsidR="003D65AF">
        <w:t xml:space="preserve">thoughtfully, purposively </w:t>
      </w:r>
      <w:r w:rsidR="001A3D13">
        <w:t xml:space="preserve">assigned </w:t>
      </w:r>
      <w:r w:rsidR="003D65AF">
        <w:t xml:space="preserve">to any home in government. </w:t>
      </w:r>
      <w:r w:rsidR="001D566A">
        <w:t>It</w:t>
      </w:r>
      <w:r w:rsidR="001A3D13">
        <w:t xml:space="preserve"> appear</w:t>
      </w:r>
      <w:r w:rsidR="00161B0A">
        <w:t>ed, according to OCTO officials,</w:t>
      </w:r>
      <w:r w:rsidR="001A3D13">
        <w:t xml:space="preserve"> almost accidentally on the</w:t>
      </w:r>
      <w:r w:rsidR="00161B0A">
        <w:t>ir</w:t>
      </w:r>
      <w:r w:rsidR="001A3D13">
        <w:t xml:space="preserve"> books </w:t>
      </w:r>
      <w:r w:rsidR="00161B0A">
        <w:t>in 2015</w:t>
      </w:r>
      <w:r w:rsidR="008B4394">
        <w:t>, left behind</w:t>
      </w:r>
      <w:r w:rsidR="00161B0A">
        <w:t xml:space="preserve"> </w:t>
      </w:r>
      <w:r w:rsidR="001A3D13">
        <w:t xml:space="preserve">following the division of various legal </w:t>
      </w:r>
      <w:r w:rsidR="0093073B">
        <w:t xml:space="preserve">tasks </w:t>
      </w:r>
      <w:r w:rsidR="00DF5E5E">
        <w:t xml:space="preserve">between the </w:t>
      </w:r>
      <w:r w:rsidR="00DF5E5E">
        <w:t xml:space="preserve">Mayor’s Office of Legal Counsel </w:t>
      </w:r>
      <w:r w:rsidR="00DF5E5E">
        <w:t>and t</w:t>
      </w:r>
      <w:r w:rsidR="001A3D13">
        <w:t xml:space="preserve">he Office of Attorney General </w:t>
      </w:r>
      <w:r w:rsidR="00DF5E5E">
        <w:t xml:space="preserve">when the </w:t>
      </w:r>
      <w:r w:rsidR="00B316FE">
        <w:t xml:space="preserve">attorney general </w:t>
      </w:r>
      <w:r w:rsidR="001A3D13">
        <w:t xml:space="preserve">became a separately elected </w:t>
      </w:r>
      <w:r w:rsidR="00DF5E5E">
        <w:t>position</w:t>
      </w:r>
      <w:r w:rsidR="00161B0A">
        <w:t>.</w:t>
      </w:r>
      <w:r w:rsidR="006A1ED6">
        <w:rPr>
          <w:rStyle w:val="FootnoteReference"/>
        </w:rPr>
        <w:footnoteReference w:id="2"/>
      </w:r>
      <w:r w:rsidR="00161B0A">
        <w:t xml:space="preserve"> </w:t>
      </w:r>
      <w:r w:rsidR="001A3D13">
        <w:t xml:space="preserve"> </w:t>
      </w:r>
      <w:r w:rsidR="00B63187">
        <w:t xml:space="preserve">OCTO has </w:t>
      </w:r>
      <w:r w:rsidR="007919B3">
        <w:t xml:space="preserve">one contract staffer to answer the help line. </w:t>
      </w:r>
    </w:p>
    <w:p w14:paraId="05867A6A" w14:textId="77777777" w:rsidR="00B63187" w:rsidRDefault="00B63187" w:rsidP="003B59F8"/>
    <w:p w14:paraId="727AB3BC" w14:textId="1D316688" w:rsidR="00161B0A" w:rsidRDefault="00C219D0" w:rsidP="003B59F8">
      <w:r>
        <w:t>Thus,</w:t>
      </w:r>
      <w:r w:rsidR="007919B3">
        <w:t xml:space="preserve"> the whole deal</w:t>
      </w:r>
      <w:r w:rsidR="00B63187">
        <w:t>—all aspects of policy and management</w:t>
      </w:r>
      <w:r w:rsidR="00381F8D">
        <w:t xml:space="preserve"> of the </w:t>
      </w:r>
      <w:r w:rsidR="00B316FE">
        <w:t>processing of FOIA requests th</w:t>
      </w:r>
      <w:r w:rsidR="00B316FE">
        <w:t>rough software and staff, l</w:t>
      </w:r>
      <w:r w:rsidR="00B316FE">
        <w:t>ack</w:t>
      </w:r>
      <w:r w:rsidR="007919B3">
        <w:t xml:space="preserve">s </w:t>
      </w:r>
      <w:r w:rsidR="00B316FE">
        <w:t>an agency base</w:t>
      </w:r>
      <w:r w:rsidR="007919B3">
        <w:t xml:space="preserve"> and thus</w:t>
      </w:r>
      <w:r w:rsidR="00B316FE">
        <w:t xml:space="preserve"> </w:t>
      </w:r>
      <w:r w:rsidR="00B316FE">
        <w:t xml:space="preserve">escapes the </w:t>
      </w:r>
      <w:r w:rsidR="00B316FE">
        <w:t xml:space="preserve">normal </w:t>
      </w:r>
      <w:r w:rsidR="00B316FE">
        <w:t>agency-</w:t>
      </w:r>
      <w:r w:rsidR="00B316FE">
        <w:t xml:space="preserve">centered </w:t>
      </w:r>
      <w:r w:rsidR="00B316FE">
        <w:t>performance management and budgeting by the mayor and Council.</w:t>
      </w:r>
    </w:p>
    <w:p w14:paraId="1BF7DD37" w14:textId="77777777" w:rsidR="00161B0A" w:rsidRDefault="00161B0A" w:rsidP="003B59F8"/>
    <w:p w14:paraId="760949D4" w14:textId="77777777" w:rsidR="004C18F2" w:rsidRDefault="00161B0A" w:rsidP="003B59F8">
      <w:r>
        <w:t xml:space="preserve">OCTO </w:t>
      </w:r>
      <w:r w:rsidR="007919B3">
        <w:t>of course h</w:t>
      </w:r>
      <w:r>
        <w:t xml:space="preserve">as </w:t>
      </w:r>
      <w:r w:rsidR="007919B3">
        <w:t>appropriate staff, available on a fee-for-service basis</w:t>
      </w:r>
      <w:r w:rsidR="003D65AF">
        <w:t xml:space="preserve">. They </w:t>
      </w:r>
      <w:r w:rsidR="00341A40">
        <w:t>worked overtime during the COVID-19 years</w:t>
      </w:r>
      <w:r w:rsidR="00381F8D">
        <w:t>,</w:t>
      </w:r>
      <w:r w:rsidR="00341A40">
        <w:t xml:space="preserve"> using</w:t>
      </w:r>
      <w:r>
        <w:t xml:space="preserve"> knowledge of development of online systems to </w:t>
      </w:r>
      <w:r w:rsidR="00341A40">
        <w:t xml:space="preserve">help agencies </w:t>
      </w:r>
      <w:r w:rsidR="0093073B">
        <w:t xml:space="preserve">serve the public with case </w:t>
      </w:r>
      <w:r w:rsidR="003D65AF">
        <w:t xml:space="preserve">and vaccination </w:t>
      </w:r>
      <w:r w:rsidR="0093073B">
        <w:t xml:space="preserve">tracking, </w:t>
      </w:r>
      <w:r w:rsidR="003D65AF">
        <w:t xml:space="preserve">urgent application procedures for </w:t>
      </w:r>
      <w:r w:rsidR="0093073B">
        <w:t xml:space="preserve">emergency rent assistance, </w:t>
      </w:r>
      <w:r w:rsidR="00341A40">
        <w:t xml:space="preserve">and other </w:t>
      </w:r>
      <w:r w:rsidR="003D65AF">
        <w:t xml:space="preserve">novel </w:t>
      </w:r>
      <w:r>
        <w:t>government services</w:t>
      </w:r>
      <w:r w:rsidR="003D65AF">
        <w:t xml:space="preserve">—helping DCPS, for example, </w:t>
      </w:r>
      <w:r w:rsidR="00381F8D">
        <w:t xml:space="preserve">collect thousands of </w:t>
      </w:r>
      <w:r w:rsidR="003D65AF">
        <w:t>staff and student vaccination</w:t>
      </w:r>
      <w:r w:rsidR="00381F8D">
        <w:t xml:space="preserve"> assurances </w:t>
      </w:r>
      <w:r w:rsidR="003D65AF">
        <w:t>just hours before schools reopened</w:t>
      </w:r>
      <w:r w:rsidR="00341A40">
        <w:t xml:space="preserve">. </w:t>
      </w:r>
    </w:p>
    <w:p w14:paraId="1C47F4CE" w14:textId="77777777" w:rsidR="004C18F2" w:rsidRDefault="004C18F2" w:rsidP="003B59F8"/>
    <w:p w14:paraId="1F5DA9BF" w14:textId="5A89C790" w:rsidR="0093073B" w:rsidRDefault="00341A40" w:rsidP="003B59F8">
      <w:r>
        <w:t xml:space="preserve">OCTO even </w:t>
      </w:r>
      <w:r w:rsidR="00161B0A">
        <w:t>offer</w:t>
      </w:r>
      <w:r>
        <w:t>s</w:t>
      </w:r>
      <w:r w:rsidR="00161B0A">
        <w:t xml:space="preserve"> client agencies </w:t>
      </w:r>
      <w:r w:rsidR="001D566A">
        <w:t>a “Usability Lab,” where citizen volunteers will try out software</w:t>
      </w:r>
      <w:r w:rsidR="00550E11">
        <w:t xml:space="preserve"> and provide feedback in a structured format</w:t>
      </w:r>
      <w:r w:rsidR="001D566A">
        <w:t>.</w:t>
      </w:r>
      <w:r w:rsidR="00550E11">
        <w:rPr>
          <w:rStyle w:val="FootnoteReference"/>
        </w:rPr>
        <w:footnoteReference w:id="3"/>
      </w:r>
      <w:r w:rsidR="001D566A">
        <w:t xml:space="preserve"> </w:t>
      </w:r>
      <w:r w:rsidR="004C18F2">
        <w:t>Would that had been done for the FOIA request portal.</w:t>
      </w:r>
    </w:p>
    <w:p w14:paraId="7B322DDB" w14:textId="77777777" w:rsidR="0093073B" w:rsidRDefault="0093073B" w:rsidP="003B59F8"/>
    <w:p w14:paraId="18047832" w14:textId="0C23CB84" w:rsidR="00DF5E5E" w:rsidRDefault="00B316FE" w:rsidP="003B59F8">
      <w:r>
        <w:t>But OCTO’s assistance isn’t available for the portal without extra budget to augment their own staff and pay the contractor for software changes</w:t>
      </w:r>
      <w:r w:rsidR="00095702">
        <w:t xml:space="preserve"> the contract doesn’t allow OCTO to make.</w:t>
      </w:r>
    </w:p>
    <w:p w14:paraId="5443370F" w14:textId="31A413D5" w:rsidR="00AA43C1" w:rsidRDefault="00AA43C1" w:rsidP="003B59F8"/>
    <w:p w14:paraId="5946073F" w14:textId="60B7D2EA" w:rsidR="004C18F2" w:rsidRDefault="00AA43C1" w:rsidP="003B59F8">
      <w:r>
        <w:lastRenderedPageBreak/>
        <w:t xml:space="preserve">The Office of Open Government </w:t>
      </w:r>
      <w:r w:rsidR="004C18F2">
        <w:t xml:space="preserve">(OOG) </w:t>
      </w:r>
      <w:r>
        <w:t xml:space="preserve">is another possible home for the FOIA portal contract. That agency has staff </w:t>
      </w:r>
      <w:r w:rsidR="006669AC">
        <w:t xml:space="preserve">already knowledgeable from their roles as informal FOIA ombudsman; trainer of agency FOIA Officers, staff and ANC commissioners; and statutory responsibility </w:t>
      </w:r>
      <w:r w:rsidR="00C219D0">
        <w:t xml:space="preserve">as </w:t>
      </w:r>
      <w:r w:rsidR="006669AC">
        <w:t>review</w:t>
      </w:r>
      <w:r w:rsidR="00C219D0">
        <w:t>er</w:t>
      </w:r>
      <w:r w:rsidR="006669AC">
        <w:t xml:space="preserve"> of FOIA implementation complaints such as the Coalition’s on the portal.  </w:t>
      </w:r>
      <w:r w:rsidR="003D65AF">
        <w:t>From that experience they would be ideal to review the portal</w:t>
      </w:r>
      <w:r w:rsidR="00CF3412">
        <w:t xml:space="preserve"> and set a thoughtful agenda of improvement to serve requesters and the agencies. </w:t>
      </w:r>
      <w:r w:rsidR="004C18F2">
        <w:t>Th</w:t>
      </w:r>
      <w:r w:rsidR="004C18F2">
        <w:t xml:space="preserve">e committee could readily transfer the contract to OOG, which </w:t>
      </w:r>
      <w:r w:rsidR="004C18F2">
        <w:t>would need a</w:t>
      </w:r>
      <w:r w:rsidR="004C18F2">
        <w:t xml:space="preserve">n added staff slot and </w:t>
      </w:r>
      <w:r w:rsidR="004C18F2">
        <w:t xml:space="preserve">the funds for the contract.  </w:t>
      </w:r>
    </w:p>
    <w:p w14:paraId="453BD40D" w14:textId="77777777" w:rsidR="004C18F2" w:rsidRDefault="004C18F2" w:rsidP="003B59F8"/>
    <w:p w14:paraId="7E999151" w14:textId="10FD8E8D" w:rsidR="00AA43C1" w:rsidRDefault="00CF3412" w:rsidP="003B59F8">
      <w:r>
        <w:t xml:space="preserve">Replacement </w:t>
      </w:r>
      <w:r w:rsidR="004C18F2">
        <w:t xml:space="preserve">of the 2014 AINS software product </w:t>
      </w:r>
      <w:r>
        <w:t>should also be on the table in D.C. as it is in the federal sector</w:t>
      </w:r>
      <w:r w:rsidR="004C18F2">
        <w:t>. There,</w:t>
      </w:r>
      <w:r>
        <w:t xml:space="preserve"> agencies using AINS FOIAXpress for years are looking at alternatives as D.C. has never done.</w:t>
      </w:r>
      <w:r>
        <w:rPr>
          <w:rStyle w:val="FootnoteReference"/>
        </w:rPr>
        <w:footnoteReference w:id="4"/>
      </w:r>
      <w:r>
        <w:t xml:space="preserve"> </w:t>
      </w:r>
    </w:p>
    <w:p w14:paraId="55CCD4D6" w14:textId="250B005E" w:rsidR="00AA43C1" w:rsidRDefault="00AA43C1" w:rsidP="003B59F8"/>
    <w:p w14:paraId="252F5B23" w14:textId="7F112F84" w:rsidR="00C219D0" w:rsidRDefault="005B35E8" w:rsidP="00C219D0">
      <w:pPr>
        <w:pStyle w:val="ListParagraph"/>
        <w:numPr>
          <w:ilvl w:val="0"/>
          <w:numId w:val="23"/>
        </w:numPr>
        <w:ind w:left="360" w:hanging="360"/>
        <w:rPr>
          <w:rFonts w:ascii="Times New Roman" w:eastAsia="Times New Roman" w:hAnsi="Times New Roman" w:cs="Times New Roman"/>
          <w:b/>
          <w:bCs/>
          <w:u w:val="single"/>
        </w:rPr>
      </w:pPr>
      <w:r>
        <w:rPr>
          <w:rFonts w:ascii="Times New Roman" w:eastAsia="Times New Roman" w:hAnsi="Times New Roman" w:cs="Times New Roman"/>
          <w:b/>
          <w:bCs/>
          <w:u w:val="single"/>
        </w:rPr>
        <w:t>Design and deliver services better so that all can use them effectively</w:t>
      </w:r>
      <w:r w:rsidR="00FA454C">
        <w:rPr>
          <w:rFonts w:ascii="Times New Roman" w:eastAsia="Times New Roman" w:hAnsi="Times New Roman" w:cs="Times New Roman"/>
          <w:b/>
          <w:bCs/>
          <w:u w:val="single"/>
        </w:rPr>
        <w:t>, especially digital</w:t>
      </w:r>
    </w:p>
    <w:p w14:paraId="5F0F3CF6" w14:textId="66A285FA" w:rsidR="005B35E8" w:rsidRDefault="005B35E8" w:rsidP="005B35E8">
      <w:pPr>
        <w:pStyle w:val="ListParagraph"/>
        <w:ind w:left="360"/>
        <w:rPr>
          <w:rFonts w:ascii="Times New Roman" w:eastAsia="Times New Roman" w:hAnsi="Times New Roman" w:cs="Times New Roman"/>
          <w:b/>
          <w:bCs/>
          <w:u w:val="single"/>
        </w:rPr>
      </w:pPr>
    </w:p>
    <w:p w14:paraId="03FAB525" w14:textId="7EF69B4F" w:rsidR="005B35E8" w:rsidRDefault="005B35E8" w:rsidP="00FA454C">
      <w:pPr>
        <w:pStyle w:val="ListParagraph"/>
        <w:ind w:left="0"/>
        <w:rPr>
          <w:rFonts w:ascii="Times New Roman" w:eastAsia="Times New Roman" w:hAnsi="Times New Roman" w:cs="Times New Roman"/>
        </w:rPr>
      </w:pPr>
      <w:r>
        <w:rPr>
          <w:rFonts w:ascii="Times New Roman" w:eastAsia="Times New Roman" w:hAnsi="Times New Roman" w:cs="Times New Roman"/>
        </w:rPr>
        <w:t>The committee should lead the way to</w:t>
      </w:r>
      <w:r w:rsidR="00FA454C">
        <w:rPr>
          <w:rFonts w:ascii="Times New Roman" w:eastAsia="Times New Roman" w:hAnsi="Times New Roman" w:cs="Times New Roman"/>
        </w:rPr>
        <w:t xml:space="preserve"> place in statute a policy that “improving service delivery and customer experience should be fundamental priorities,” as President Joe Biden phrased it in the December Executive Order pushing the federal government in the same direction.</w:t>
      </w:r>
      <w:r w:rsidR="00FA55D1">
        <w:rPr>
          <w:rStyle w:val="FootnoteReference"/>
          <w:rFonts w:ascii="Times New Roman" w:eastAsia="Times New Roman" w:hAnsi="Times New Roman" w:cs="Times New Roman"/>
        </w:rPr>
        <w:footnoteReference w:id="5"/>
      </w:r>
      <w:r w:rsidR="00FA454C">
        <w:rPr>
          <w:rFonts w:ascii="Times New Roman" w:eastAsia="Times New Roman" w:hAnsi="Times New Roman" w:cs="Times New Roman"/>
        </w:rPr>
        <w:t xml:space="preserve">  </w:t>
      </w:r>
      <w:r w:rsidR="00FA55D1">
        <w:rPr>
          <w:rFonts w:ascii="Times New Roman" w:eastAsia="Times New Roman" w:hAnsi="Times New Roman" w:cs="Times New Roman"/>
        </w:rPr>
        <w:t>As the Order also said:</w:t>
      </w:r>
    </w:p>
    <w:p w14:paraId="54C6860C" w14:textId="77777777" w:rsidR="00FA55D1" w:rsidRPr="00FA55D1" w:rsidRDefault="00FA55D1" w:rsidP="00FA55D1">
      <w:pPr>
        <w:spacing w:beforeAutospacing="1" w:after="100" w:afterAutospacing="1"/>
        <w:ind w:left="720"/>
      </w:pPr>
      <w:r w:rsidRPr="00FA55D1">
        <w:t>Management of [the government’s] customer experience and service delivery should be driven fundamentally by the voice of the customer through human-centered design methodologies; empirical customer research; an understanding of behavioral science and user testing, especially for digital services; and other mechanisms of engagement.</w:t>
      </w:r>
    </w:p>
    <w:p w14:paraId="7345D142" w14:textId="57109FAF" w:rsidR="00B67233" w:rsidRDefault="00FA454C" w:rsidP="0015584D">
      <w:r>
        <w:t xml:space="preserve">With this FOIA portal example, and </w:t>
      </w:r>
      <w:r w:rsidR="00FA55D1">
        <w:t>others fresh in mind from the COVID-19 period</w:t>
      </w:r>
      <w:r w:rsidR="00A06A7B">
        <w:t>, for example, an unemployment benefits system that</w:t>
      </w:r>
      <w:r w:rsidR="00716EF0">
        <w:t>,</w:t>
      </w:r>
      <w:r w:rsidR="00A06A7B">
        <w:t xml:space="preserve"> despite millions invested, did not deliver what our residents </w:t>
      </w:r>
      <w:r w:rsidR="00C6413B">
        <w:t xml:space="preserve">urgently </w:t>
      </w:r>
      <w:r w:rsidR="00A06A7B">
        <w:t>needed in the crunch, t</w:t>
      </w:r>
      <w:r w:rsidR="00B67233">
        <w:t xml:space="preserve">he time has come for </w:t>
      </w:r>
      <w:r w:rsidR="00723C91">
        <w:t xml:space="preserve">the Council </w:t>
      </w:r>
      <w:r w:rsidR="00B67233">
        <w:t xml:space="preserve">dramatically </w:t>
      </w:r>
      <w:r w:rsidR="00915E8E">
        <w:t xml:space="preserve">to </w:t>
      </w:r>
      <w:r w:rsidR="00B67233">
        <w:t>raise the profile of issues in the District government’s electronic service delivery.</w:t>
      </w:r>
    </w:p>
    <w:p w14:paraId="71A98496" w14:textId="77777777" w:rsidR="00B80031" w:rsidRDefault="00B80031" w:rsidP="0015584D"/>
    <w:p w14:paraId="7661DBB9" w14:textId="2C77781E" w:rsidR="00B80031" w:rsidRDefault="00B80031" w:rsidP="00B80031">
      <w:r>
        <w:t xml:space="preserve">It is time for a new expectation, again quoting apt language from the White House, that </w:t>
      </w:r>
      <w:r>
        <w:t xml:space="preserve">in </w:t>
      </w:r>
      <w:r>
        <w:t>D.C.</w:t>
      </w:r>
      <w:r w:rsidR="00716EF0">
        <w:t>,</w:t>
      </w:r>
    </w:p>
    <w:p w14:paraId="1CF33BE1" w14:textId="77777777" w:rsidR="00B80031" w:rsidRDefault="00B80031" w:rsidP="00B80031"/>
    <w:p w14:paraId="65F0FEE4" w14:textId="3344EBAB" w:rsidR="00B80031" w:rsidRDefault="00B80031" w:rsidP="00B80031">
      <w:pPr>
        <w:ind w:left="720"/>
      </w:pPr>
      <w:r w:rsidRPr="00B67233">
        <w:t xml:space="preserve">agencies that provide significant services directly to the public </w:t>
      </w:r>
      <w:r>
        <w:t>will</w:t>
      </w:r>
      <w:r w:rsidRPr="00B67233">
        <w:t xml:space="preserve"> identify and gather feedback from customers; establish service standards and measure performance against those standards; and benchmark customer service performance against the best customer experience provided in the private sector.</w:t>
      </w:r>
    </w:p>
    <w:p w14:paraId="50F68A83" w14:textId="77777777" w:rsidR="00B67233" w:rsidRDefault="00B67233" w:rsidP="0015584D"/>
    <w:p w14:paraId="5C44BAFB" w14:textId="77777777" w:rsidR="002A777C" w:rsidRDefault="00FA55D1" w:rsidP="00FA55D1">
      <w:r>
        <w:t>OCTO</w:t>
      </w:r>
      <w:r w:rsidR="00B80031">
        <w:t xml:space="preserve"> has elected to interpret </w:t>
      </w:r>
      <w:r w:rsidR="00EC6B1C">
        <w:t>modestly i</w:t>
      </w:r>
      <w:r w:rsidR="00B80031">
        <w:t>ts statutory mandate</w:t>
      </w:r>
      <w:r w:rsidR="000D2406">
        <w:t>, D.C. Code § 1-1402,</w:t>
      </w:r>
      <w:r w:rsidR="00B80031">
        <w:t xml:space="preserve"> to “</w:t>
      </w:r>
      <w:r w:rsidR="000D2406">
        <w:t xml:space="preserve">centralize responsibility for the District government’s investments in information technology and </w:t>
      </w:r>
    </w:p>
    <w:p w14:paraId="737F6CDE" w14:textId="77777777" w:rsidR="002A777C" w:rsidRDefault="002A777C" w:rsidP="00FA55D1"/>
    <w:p w14:paraId="235168BB" w14:textId="53C624D2" w:rsidR="000D2406" w:rsidRDefault="000D2406" w:rsidP="00FA55D1">
      <w:r>
        <w:t>telecommunications systems</w:t>
      </w:r>
      <w:r>
        <w:t>” and “</w:t>
      </w:r>
      <w:r w:rsidR="00B80031">
        <w:t>develop and enforce policy directives and standards regarding information technology and telecommunications systems throughout the District government</w:t>
      </w:r>
      <w:r w:rsidR="00EC6B1C">
        <w:t>.</w:t>
      </w:r>
      <w:r w:rsidR="00B80031">
        <w:t>”</w:t>
      </w:r>
      <w:r w:rsidR="00EC6B1C">
        <w:t xml:space="preserve"> </w:t>
      </w:r>
    </w:p>
    <w:p w14:paraId="715567B6" w14:textId="77777777" w:rsidR="000D2406" w:rsidRDefault="000D2406" w:rsidP="00FA55D1"/>
    <w:p w14:paraId="2731BE9E" w14:textId="77777777" w:rsidR="00184F79" w:rsidRDefault="000D2406" w:rsidP="00FA55D1">
      <w:r>
        <w:t xml:space="preserve">Surely </w:t>
      </w:r>
      <w:r w:rsidR="00EC6B1C">
        <w:t xml:space="preserve">direction and standards </w:t>
      </w:r>
      <w:r>
        <w:t>are essential, not optional, to be s</w:t>
      </w:r>
      <w:r w:rsidR="00EC6B1C">
        <w:t>ure every agency builds electronic services so that consumers are well-served</w:t>
      </w:r>
      <w:r>
        <w:t>, and evaluates to find out</w:t>
      </w:r>
      <w:r w:rsidR="00EC6B1C">
        <w:t xml:space="preserve">. </w:t>
      </w:r>
    </w:p>
    <w:p w14:paraId="23B67A79" w14:textId="77777777" w:rsidR="00184F79" w:rsidRDefault="00184F79" w:rsidP="00FA55D1"/>
    <w:p w14:paraId="24E63641" w14:textId="60322494" w:rsidR="00FA55D1" w:rsidRDefault="00184F79" w:rsidP="00FA55D1">
      <w:r>
        <w:t>Is it enough t</w:t>
      </w:r>
      <w:r w:rsidR="00EC6B1C">
        <w:t xml:space="preserve">o have a mission, as OCTO does today, </w:t>
      </w:r>
      <w:r w:rsidR="00B80031">
        <w:t xml:space="preserve">to </w:t>
      </w:r>
      <w:r w:rsidR="00FA55D1">
        <w:t>“</w:t>
      </w:r>
      <w:r w:rsidR="00FA55D1" w:rsidRPr="00CA5767">
        <w:rPr>
          <w:rFonts w:eastAsiaTheme="majorEastAsia"/>
        </w:rPr>
        <w:t>empower</w:t>
      </w:r>
      <w:r w:rsidR="00FA55D1">
        <w:t xml:space="preserve"> </w:t>
      </w:r>
      <w:r w:rsidR="00FA55D1" w:rsidRPr="00CA5767">
        <w:rPr>
          <w:rFonts w:eastAsiaTheme="majorEastAsia"/>
        </w:rPr>
        <w:t>D</w:t>
      </w:r>
      <w:r w:rsidR="00FA55D1">
        <w:t>.</w:t>
      </w:r>
      <w:r w:rsidR="00FA55D1" w:rsidRPr="00CA5767">
        <w:rPr>
          <w:rFonts w:eastAsiaTheme="majorEastAsia"/>
        </w:rPr>
        <w:t>C</w:t>
      </w:r>
      <w:r w:rsidR="00FA55D1">
        <w:t>.</w:t>
      </w:r>
      <w:r w:rsidR="00FA55D1" w:rsidRPr="00CA5767">
        <w:rPr>
          <w:rFonts w:eastAsiaTheme="majorEastAsia"/>
        </w:rPr>
        <w:t xml:space="preserve"> Government through technology</w:t>
      </w:r>
      <w:r w:rsidR="00FA55D1">
        <w:t xml:space="preserve"> </w:t>
      </w:r>
      <w:r w:rsidR="00FA55D1" w:rsidRPr="00CA5767">
        <w:rPr>
          <w:rFonts w:eastAsiaTheme="majorEastAsia"/>
        </w:rPr>
        <w:t>by providing valued services, advising</w:t>
      </w:r>
      <w:r w:rsidR="00FA55D1">
        <w:t xml:space="preserve"> </w:t>
      </w:r>
      <w:r w:rsidR="00FA55D1" w:rsidRPr="00CA5767">
        <w:rPr>
          <w:rFonts w:eastAsiaTheme="majorEastAsia"/>
        </w:rPr>
        <w:t>agencies, and collaboratively governing</w:t>
      </w:r>
      <w:r w:rsidR="00FA55D1">
        <w:t xml:space="preserve"> </w:t>
      </w:r>
      <w:r w:rsidR="00FA55D1" w:rsidRPr="00CA5767">
        <w:rPr>
          <w:rFonts w:eastAsiaTheme="majorEastAsia"/>
        </w:rPr>
        <w:t>IT.</w:t>
      </w:r>
      <w:r w:rsidR="00FA55D1">
        <w:t>”</w:t>
      </w:r>
      <w:r w:rsidR="00FA55D1">
        <w:rPr>
          <w:rStyle w:val="FootnoteReference"/>
        </w:rPr>
        <w:footnoteReference w:id="6"/>
      </w:r>
    </w:p>
    <w:p w14:paraId="0FE9B66E" w14:textId="14085DA0" w:rsidR="000D2406" w:rsidRDefault="000D2406" w:rsidP="00FA55D1"/>
    <w:p w14:paraId="1FFC776D" w14:textId="0C018046" w:rsidR="000D2406" w:rsidRDefault="00E12AB0" w:rsidP="00FA55D1">
      <w:r>
        <w:t>The D.C. Auditor urges a broader OCTO role, as both necessary and not at all inconsistent with its 1998 statute.</w:t>
      </w:r>
      <w:r w:rsidR="00CD20D1">
        <w:rPr>
          <w:rStyle w:val="FootnoteReference"/>
        </w:rPr>
        <w:footnoteReference w:id="7"/>
      </w:r>
      <w:r>
        <w:t xml:space="preserve"> R</w:t>
      </w:r>
      <w:r>
        <w:t>eviewing another case study of ineffective IT project planning in 2017, and the hesitancy of the executive to manage such efforts more aggressively (that one cost tens of millions and delivered skimpy results after many years)</w:t>
      </w:r>
      <w:r>
        <w:t>,</w:t>
      </w:r>
      <w:r>
        <w:t xml:space="preserve"> the Auditor </w:t>
      </w:r>
      <w:r>
        <w:t>wrote:</w:t>
      </w:r>
    </w:p>
    <w:p w14:paraId="2930513B" w14:textId="77777777" w:rsidR="00716EF0" w:rsidRDefault="00716EF0" w:rsidP="00CD20D1">
      <w:pPr>
        <w:ind w:left="720"/>
      </w:pPr>
    </w:p>
    <w:p w14:paraId="72394C3A" w14:textId="7E47F288" w:rsidR="00CD20D1" w:rsidRPr="00CD20D1" w:rsidRDefault="00CD20D1" w:rsidP="00CD20D1">
      <w:pPr>
        <w:ind w:left="720"/>
      </w:pPr>
      <w:r>
        <w:t>[W]</w:t>
      </w:r>
      <w:r w:rsidRPr="00CD20D1">
        <w:t>e note that OCTO has a far broader statutory</w:t>
      </w:r>
      <w:r>
        <w:t xml:space="preserve"> </w:t>
      </w:r>
      <w:r w:rsidRPr="00CD20D1">
        <w:t>mandate than appears to be followed today. When created, OCTO</w:t>
      </w:r>
      <w:r>
        <w:t xml:space="preserve"> </w:t>
      </w:r>
      <w:r w:rsidRPr="00CD20D1">
        <w:t>was designed to serve as the government’s leader in setting policy</w:t>
      </w:r>
      <w:r>
        <w:t xml:space="preserve"> </w:t>
      </w:r>
      <w:r w:rsidRPr="00CD20D1">
        <w:t>and developing and operating information technology systems. It</w:t>
      </w:r>
      <w:r>
        <w:t xml:space="preserve"> </w:t>
      </w:r>
      <w:r w:rsidRPr="00CD20D1">
        <w:t>appears that OCTO is serving instead as a support agency,</w:t>
      </w:r>
      <w:r>
        <w:t xml:space="preserve"> </w:t>
      </w:r>
      <w:r w:rsidRPr="00CD20D1">
        <w:t>providing more limited support based on what Executive Branch</w:t>
      </w:r>
      <w:r>
        <w:t xml:space="preserve"> </w:t>
      </w:r>
      <w:r w:rsidRPr="00CD20D1">
        <w:t>operating agencies contract and pay for. OCTO’s overall role in the</w:t>
      </w:r>
      <w:r>
        <w:t xml:space="preserve"> </w:t>
      </w:r>
      <w:r w:rsidRPr="00CD20D1">
        <w:t>D.C. government may be an appropriate subject for further ODCA</w:t>
      </w:r>
      <w:r>
        <w:t xml:space="preserve"> </w:t>
      </w:r>
      <w:r w:rsidRPr="00CD20D1">
        <w:t>review</w:t>
      </w:r>
      <w:r>
        <w:t>.</w:t>
      </w:r>
    </w:p>
    <w:p w14:paraId="201BE1CC" w14:textId="68B21504" w:rsidR="000D2406" w:rsidRDefault="000D2406" w:rsidP="00FA55D1"/>
    <w:p w14:paraId="51AA8706" w14:textId="1DB9C125" w:rsidR="00E12AB0" w:rsidRDefault="00E12AB0" w:rsidP="00B67233">
      <w:r>
        <w:t xml:space="preserve">Though a strong tech agency would seem most appropriate, it </w:t>
      </w:r>
      <w:r w:rsidR="00716EF0">
        <w:t xml:space="preserve">may be time to </w:t>
      </w:r>
      <w:r w:rsidR="00915E8E">
        <w:t xml:space="preserve">establish </w:t>
      </w:r>
      <w:r w:rsidR="00B67233">
        <w:t xml:space="preserve">a formal part of the executive that is not a technology </w:t>
      </w:r>
      <w:r w:rsidR="008821B4">
        <w:t>agency but</w:t>
      </w:r>
      <w:r w:rsidR="00B67233">
        <w:t xml:space="preserve"> </w:t>
      </w:r>
      <w:r>
        <w:t xml:space="preserve">places elsewhere </w:t>
      </w:r>
      <w:r w:rsidR="00B67233">
        <w:t>a new focal point to emphasize the customer</w:t>
      </w:r>
      <w:r w:rsidR="00813D58">
        <w:t xml:space="preserve">s who use </w:t>
      </w:r>
      <w:r w:rsidR="002A777C">
        <w:t>digital government services.</w:t>
      </w:r>
    </w:p>
    <w:p w14:paraId="7A33662E" w14:textId="77777777" w:rsidR="002A777C" w:rsidRDefault="002A777C" w:rsidP="00B67233"/>
    <w:p w14:paraId="06BE86E7" w14:textId="36435F44" w:rsidR="00B67233" w:rsidRPr="00B67233" w:rsidRDefault="00B67233" w:rsidP="00B67233">
      <w:r>
        <w:t xml:space="preserve">The key </w:t>
      </w:r>
      <w:r w:rsidR="00915E8E">
        <w:t xml:space="preserve">need is for an orientation to </w:t>
      </w:r>
      <w:r w:rsidRPr="00B67233">
        <w:t>systematically identifying and resolving the root causes of customer experience challenges</w:t>
      </w:r>
      <w:r>
        <w:t xml:space="preserve">. We urge it </w:t>
      </w:r>
      <w:r w:rsidR="00813D58">
        <w:t xml:space="preserve">today </w:t>
      </w:r>
      <w:r>
        <w:t xml:space="preserve">for electronic services, but such a mind-set should be welcomed in many </w:t>
      </w:r>
      <w:r w:rsidR="00915E8E">
        <w:t xml:space="preserve">D.C. </w:t>
      </w:r>
      <w:r>
        <w:t>agencies interacting with the public</w:t>
      </w:r>
      <w:r w:rsidR="00915E8E">
        <w:t xml:space="preserve"> in diverse ways</w:t>
      </w:r>
      <w:r>
        <w:t>.</w:t>
      </w:r>
    </w:p>
    <w:p w14:paraId="7B7809A8" w14:textId="77777777" w:rsidR="00B67233" w:rsidRDefault="00B67233" w:rsidP="0015584D"/>
    <w:p w14:paraId="61942AAA" w14:textId="10BE9F70" w:rsidR="00723C91" w:rsidRDefault="00B67233" w:rsidP="0015584D">
      <w:r>
        <w:t>To redirect the approach to electronic services like FOIA request processing, we recommend proceeding in two stages:</w:t>
      </w:r>
    </w:p>
    <w:p w14:paraId="345574E9" w14:textId="77777777" w:rsidR="00B67233" w:rsidRDefault="00B67233" w:rsidP="0015584D"/>
    <w:p w14:paraId="09A10ED8" w14:textId="77777777" w:rsidR="00F61CC9" w:rsidRDefault="00B67233" w:rsidP="00723C91">
      <w:pPr>
        <w:pStyle w:val="ListParagraph"/>
        <w:numPr>
          <w:ilvl w:val="0"/>
          <w:numId w:val="20"/>
        </w:numPr>
        <w:rPr>
          <w:rFonts w:ascii="Times New Roman" w:hAnsi="Times New Roman" w:cs="Times New Roman"/>
        </w:rPr>
      </w:pPr>
      <w:r>
        <w:rPr>
          <w:rFonts w:ascii="Times New Roman" w:hAnsi="Times New Roman" w:cs="Times New Roman"/>
        </w:rPr>
        <w:t>H</w:t>
      </w:r>
      <w:r w:rsidR="00723C91" w:rsidRPr="00723C91">
        <w:rPr>
          <w:rFonts w:ascii="Times New Roman" w:hAnsi="Times New Roman" w:cs="Times New Roman"/>
        </w:rPr>
        <w:t>old a roundtable</w:t>
      </w:r>
      <w:r w:rsidR="00723C91">
        <w:rPr>
          <w:rFonts w:ascii="Times New Roman" w:hAnsi="Times New Roman" w:cs="Times New Roman"/>
        </w:rPr>
        <w:t>, first</w:t>
      </w:r>
      <w:r w:rsidR="00723C91" w:rsidRPr="00723C91">
        <w:rPr>
          <w:rFonts w:ascii="Times New Roman" w:hAnsi="Times New Roman" w:cs="Times New Roman"/>
        </w:rPr>
        <w:t xml:space="preserve"> with public and government witnesses together with experts in web-based interfaces, to set an agenda of FOIA improvement including not only the portal but agency request processing, FOIA officer training, and appeals and enforcement -- in short to explore the </w:t>
      </w:r>
    </w:p>
    <w:p w14:paraId="604815CA" w14:textId="51E9FEE4" w:rsidR="00723C91" w:rsidRPr="00723C91" w:rsidRDefault="00723C91" w:rsidP="00F61CC9">
      <w:pPr>
        <w:pStyle w:val="ListParagraph"/>
        <w:rPr>
          <w:rFonts w:ascii="Times New Roman" w:hAnsi="Times New Roman" w:cs="Times New Roman"/>
        </w:rPr>
      </w:pPr>
      <w:r w:rsidRPr="00723C91">
        <w:rPr>
          <w:rFonts w:ascii="Times New Roman" w:hAnsi="Times New Roman" w:cs="Times New Roman"/>
        </w:rPr>
        <w:t xml:space="preserve">shape of the next generation of </w:t>
      </w:r>
      <w:r w:rsidR="00B67233">
        <w:rPr>
          <w:rFonts w:ascii="Times New Roman" w:hAnsi="Times New Roman" w:cs="Times New Roman"/>
        </w:rPr>
        <w:t xml:space="preserve">digital </w:t>
      </w:r>
      <w:r w:rsidRPr="00723C91">
        <w:rPr>
          <w:rFonts w:ascii="Times New Roman" w:hAnsi="Times New Roman" w:cs="Times New Roman"/>
        </w:rPr>
        <w:t xml:space="preserve">public records request management. </w:t>
      </w:r>
      <w:r>
        <w:rPr>
          <w:rFonts w:ascii="Times New Roman" w:hAnsi="Times New Roman" w:cs="Times New Roman"/>
        </w:rPr>
        <w:t>Then, repeat the roundtable focused on other agencies</w:t>
      </w:r>
      <w:r w:rsidR="00B67233">
        <w:rPr>
          <w:rFonts w:ascii="Times New Roman" w:hAnsi="Times New Roman" w:cs="Times New Roman"/>
        </w:rPr>
        <w:t xml:space="preserve"> that interact digitally with customers.</w:t>
      </w:r>
    </w:p>
    <w:p w14:paraId="0235B134" w14:textId="79E83A69" w:rsidR="00723C91" w:rsidRDefault="00723C91" w:rsidP="00336044">
      <w:pPr>
        <w:pStyle w:val="ListParagraph"/>
        <w:numPr>
          <w:ilvl w:val="0"/>
          <w:numId w:val="20"/>
        </w:numPr>
        <w:rPr>
          <w:rFonts w:ascii="Times New Roman" w:hAnsi="Times New Roman" w:cs="Times New Roman"/>
        </w:rPr>
      </w:pPr>
      <w:r w:rsidRPr="00723C91">
        <w:rPr>
          <w:rFonts w:ascii="Times New Roman" w:hAnsi="Times New Roman" w:cs="Times New Roman"/>
        </w:rPr>
        <w:t>Draw on the roundtable</w:t>
      </w:r>
      <w:r>
        <w:rPr>
          <w:rFonts w:ascii="Times New Roman" w:hAnsi="Times New Roman" w:cs="Times New Roman"/>
        </w:rPr>
        <w:t>s’</w:t>
      </w:r>
      <w:r w:rsidRPr="00723C91">
        <w:rPr>
          <w:rFonts w:ascii="Times New Roman" w:hAnsi="Times New Roman" w:cs="Times New Roman"/>
        </w:rPr>
        <w:t xml:space="preserve"> </w:t>
      </w:r>
      <w:r>
        <w:rPr>
          <w:rFonts w:ascii="Times New Roman" w:hAnsi="Times New Roman" w:cs="Times New Roman"/>
        </w:rPr>
        <w:t xml:space="preserve">results </w:t>
      </w:r>
      <w:r w:rsidRPr="00723C91">
        <w:rPr>
          <w:rFonts w:ascii="Times New Roman" w:hAnsi="Times New Roman" w:cs="Times New Roman"/>
        </w:rPr>
        <w:t xml:space="preserve">to draft a </w:t>
      </w:r>
      <w:r w:rsidR="00B67233">
        <w:rPr>
          <w:rFonts w:ascii="Times New Roman" w:hAnsi="Times New Roman" w:cs="Times New Roman"/>
        </w:rPr>
        <w:t xml:space="preserve">charter </w:t>
      </w:r>
      <w:r>
        <w:rPr>
          <w:rFonts w:ascii="Times New Roman" w:hAnsi="Times New Roman" w:cs="Times New Roman"/>
        </w:rPr>
        <w:t>for establishment of an Office of Electronic Government</w:t>
      </w:r>
      <w:r w:rsidR="00E12AB0">
        <w:rPr>
          <w:rFonts w:ascii="Times New Roman" w:hAnsi="Times New Roman" w:cs="Times New Roman"/>
        </w:rPr>
        <w:t xml:space="preserve"> in OCTO or elsewhere</w:t>
      </w:r>
      <w:r w:rsidR="00A81AD0">
        <w:rPr>
          <w:rFonts w:ascii="Times New Roman" w:hAnsi="Times New Roman" w:cs="Times New Roman"/>
        </w:rPr>
        <w:t>. It would be</w:t>
      </w:r>
      <w:r>
        <w:rPr>
          <w:rFonts w:ascii="Times New Roman" w:hAnsi="Times New Roman" w:cs="Times New Roman"/>
        </w:rPr>
        <w:t xml:space="preserve"> tasked to develop standards for D.C. government agencies’ handling of common challenges such as login and identity management, web site designs and accessibility, notifications, and systematic evaluation of users’ experiences using a range of methods. </w:t>
      </w:r>
      <w:r w:rsidR="00B67233">
        <w:rPr>
          <w:rFonts w:ascii="Times New Roman" w:hAnsi="Times New Roman" w:cs="Times New Roman"/>
        </w:rPr>
        <w:t xml:space="preserve">The office should also design </w:t>
      </w:r>
      <w:r>
        <w:rPr>
          <w:rFonts w:ascii="Times New Roman" w:hAnsi="Times New Roman" w:cs="Times New Roman"/>
        </w:rPr>
        <w:t>requirement</w:t>
      </w:r>
      <w:r w:rsidR="00B67233">
        <w:rPr>
          <w:rFonts w:ascii="Times New Roman" w:hAnsi="Times New Roman" w:cs="Times New Roman"/>
        </w:rPr>
        <w:t>s</w:t>
      </w:r>
      <w:r>
        <w:rPr>
          <w:rFonts w:ascii="Times New Roman" w:hAnsi="Times New Roman" w:cs="Times New Roman"/>
        </w:rPr>
        <w:t xml:space="preserve"> for regular reporting from agencies so that the </w:t>
      </w:r>
      <w:r w:rsidR="00B67233">
        <w:rPr>
          <w:rFonts w:ascii="Times New Roman" w:hAnsi="Times New Roman" w:cs="Times New Roman"/>
        </w:rPr>
        <w:t xml:space="preserve">executive branch </w:t>
      </w:r>
      <w:r>
        <w:rPr>
          <w:rFonts w:ascii="Times New Roman" w:hAnsi="Times New Roman" w:cs="Times New Roman"/>
        </w:rPr>
        <w:t xml:space="preserve">can designate each year </w:t>
      </w:r>
      <w:r w:rsidR="00A81AD0">
        <w:rPr>
          <w:rFonts w:ascii="Times New Roman" w:hAnsi="Times New Roman" w:cs="Times New Roman"/>
        </w:rPr>
        <w:t xml:space="preserve">electronic </w:t>
      </w:r>
      <w:r>
        <w:rPr>
          <w:rFonts w:ascii="Times New Roman" w:hAnsi="Times New Roman" w:cs="Times New Roman"/>
        </w:rPr>
        <w:t xml:space="preserve">services </w:t>
      </w:r>
      <w:r w:rsidR="00DF513A">
        <w:rPr>
          <w:rFonts w:ascii="Times New Roman" w:hAnsi="Times New Roman" w:cs="Times New Roman"/>
        </w:rPr>
        <w:t xml:space="preserve">of the highest importance </w:t>
      </w:r>
      <w:r>
        <w:rPr>
          <w:rFonts w:ascii="Times New Roman" w:hAnsi="Times New Roman" w:cs="Times New Roman"/>
        </w:rPr>
        <w:t>to the public</w:t>
      </w:r>
      <w:r w:rsidR="00DF513A">
        <w:rPr>
          <w:rFonts w:ascii="Times New Roman" w:hAnsi="Times New Roman" w:cs="Times New Roman"/>
        </w:rPr>
        <w:t xml:space="preserve"> and</w:t>
      </w:r>
      <w:r>
        <w:rPr>
          <w:rFonts w:ascii="Times New Roman" w:hAnsi="Times New Roman" w:cs="Times New Roman"/>
        </w:rPr>
        <w:t xml:space="preserve"> in greatest need of improvement</w:t>
      </w:r>
      <w:r w:rsidR="008821B4">
        <w:rPr>
          <w:rFonts w:ascii="Times New Roman" w:hAnsi="Times New Roman" w:cs="Times New Roman"/>
        </w:rPr>
        <w:t xml:space="preserve">. Finally, the office should propose </w:t>
      </w:r>
      <w:r w:rsidR="00B67233">
        <w:rPr>
          <w:rFonts w:ascii="Times New Roman" w:hAnsi="Times New Roman" w:cs="Times New Roman"/>
        </w:rPr>
        <w:t xml:space="preserve">additions to agency performance plans and personnel rules so that both the plans and executives’ evaluations </w:t>
      </w:r>
      <w:r>
        <w:rPr>
          <w:rFonts w:ascii="Times New Roman" w:hAnsi="Times New Roman" w:cs="Times New Roman"/>
        </w:rPr>
        <w:t xml:space="preserve">include attention to results in improving users’ experience with </w:t>
      </w:r>
      <w:r w:rsidR="00B67233">
        <w:rPr>
          <w:rFonts w:ascii="Times New Roman" w:hAnsi="Times New Roman" w:cs="Times New Roman"/>
        </w:rPr>
        <w:t xml:space="preserve">electronic </w:t>
      </w:r>
      <w:r>
        <w:rPr>
          <w:rFonts w:ascii="Times New Roman" w:hAnsi="Times New Roman" w:cs="Times New Roman"/>
        </w:rPr>
        <w:t>access</w:t>
      </w:r>
      <w:r w:rsidR="00B67233">
        <w:rPr>
          <w:rFonts w:ascii="Times New Roman" w:hAnsi="Times New Roman" w:cs="Times New Roman"/>
        </w:rPr>
        <w:t xml:space="preserve"> to </w:t>
      </w:r>
      <w:r>
        <w:rPr>
          <w:rFonts w:ascii="Times New Roman" w:hAnsi="Times New Roman" w:cs="Times New Roman"/>
        </w:rPr>
        <w:t xml:space="preserve">government services. </w:t>
      </w:r>
    </w:p>
    <w:p w14:paraId="5DCCCA36" w14:textId="77777777" w:rsidR="00723C91" w:rsidRPr="00723C91" w:rsidRDefault="00723C91" w:rsidP="00723C91"/>
    <w:p w14:paraId="6CC62860" w14:textId="0B60E8C9" w:rsidR="00723C91" w:rsidRDefault="008821B4" w:rsidP="0015584D">
      <w:r>
        <w:t xml:space="preserve">The Coalition looks forward to working with the committee to </w:t>
      </w:r>
      <w:r w:rsidR="00DF513A">
        <w:t xml:space="preserve">fix the FOIA portal, but to also learn from that experience how we must </w:t>
      </w:r>
      <w:r>
        <w:t xml:space="preserve">design an improved </w:t>
      </w:r>
      <w:r w:rsidR="00A81AD0">
        <w:t xml:space="preserve">approach </w:t>
      </w:r>
      <w:r>
        <w:t xml:space="preserve">within the </w:t>
      </w:r>
      <w:r w:rsidR="00673F93">
        <w:t>government,</w:t>
      </w:r>
      <w:r>
        <w:t xml:space="preserve"> so </w:t>
      </w:r>
      <w:r w:rsidR="00F61CC9">
        <w:t xml:space="preserve">policy and accountability measures assure </w:t>
      </w:r>
      <w:r>
        <w:t xml:space="preserve">that user perspectives inform the design of </w:t>
      </w:r>
      <w:r w:rsidR="00F61CC9">
        <w:t xml:space="preserve">all public-facing </w:t>
      </w:r>
      <w:r>
        <w:t xml:space="preserve">systems—precisely what we have found missing in the </w:t>
      </w:r>
      <w:r w:rsidR="00673F93">
        <w:t xml:space="preserve">years of </w:t>
      </w:r>
      <w:r>
        <w:t>treatment of the FOIA portal.</w:t>
      </w:r>
    </w:p>
    <w:p w14:paraId="1BED032C" w14:textId="77777777" w:rsidR="00E9585C" w:rsidRDefault="00E9585C" w:rsidP="0015584D"/>
    <w:p w14:paraId="26B4F67E" w14:textId="6E9F7557" w:rsidR="00C97DA0" w:rsidRDefault="00C97DA0" w:rsidP="00D74EEF">
      <w:pPr>
        <w:pBdr>
          <w:bottom w:val="single" w:sz="12" w:space="1" w:color="auto"/>
        </w:pBdr>
      </w:pPr>
    </w:p>
    <w:p w14:paraId="766579F2" w14:textId="2E04361F" w:rsidR="00E9585C" w:rsidRDefault="00E9585C" w:rsidP="00D74EEF">
      <w:pPr>
        <w:pBdr>
          <w:bottom w:val="single" w:sz="12" w:space="1" w:color="auto"/>
        </w:pBdr>
      </w:pPr>
    </w:p>
    <w:p w14:paraId="729D0AD1" w14:textId="0DB4DFAD" w:rsidR="00E9585C" w:rsidRDefault="00E9585C" w:rsidP="00D74EEF">
      <w:pPr>
        <w:pBdr>
          <w:bottom w:val="single" w:sz="12" w:space="1" w:color="auto"/>
        </w:pBdr>
      </w:pPr>
    </w:p>
    <w:p w14:paraId="6EF5AB1D" w14:textId="43F65623" w:rsidR="00E9585C" w:rsidRDefault="00E9585C" w:rsidP="00D74EEF">
      <w:pPr>
        <w:pBdr>
          <w:bottom w:val="single" w:sz="12" w:space="1" w:color="auto"/>
        </w:pBdr>
      </w:pPr>
    </w:p>
    <w:p w14:paraId="5C535009" w14:textId="77777777" w:rsidR="002A777C" w:rsidRDefault="002A777C" w:rsidP="00D74EEF">
      <w:pPr>
        <w:pBdr>
          <w:bottom w:val="single" w:sz="12" w:space="1" w:color="auto"/>
        </w:pBdr>
      </w:pPr>
    </w:p>
    <w:p w14:paraId="67BB2A26" w14:textId="71312935" w:rsidR="00E9585C" w:rsidRDefault="00E9585C" w:rsidP="00D74EEF">
      <w:pPr>
        <w:pBdr>
          <w:bottom w:val="single" w:sz="12" w:space="1" w:color="auto"/>
        </w:pBdr>
      </w:pPr>
    </w:p>
    <w:p w14:paraId="0606C9CC" w14:textId="4D784E2E" w:rsidR="00673F93" w:rsidRDefault="00673F93" w:rsidP="00D74EEF">
      <w:pPr>
        <w:pBdr>
          <w:bottom w:val="single" w:sz="12" w:space="1" w:color="auto"/>
        </w:pBdr>
      </w:pPr>
    </w:p>
    <w:p w14:paraId="1B5C27F5" w14:textId="3975B566" w:rsidR="00673F93" w:rsidRDefault="00673F93" w:rsidP="00D74EEF">
      <w:pPr>
        <w:pBdr>
          <w:bottom w:val="single" w:sz="12" w:space="1" w:color="auto"/>
        </w:pBdr>
      </w:pPr>
    </w:p>
    <w:p w14:paraId="73BCEA43" w14:textId="3173EEDF" w:rsidR="00673F93" w:rsidRDefault="00673F93" w:rsidP="00D74EEF">
      <w:pPr>
        <w:pBdr>
          <w:bottom w:val="single" w:sz="12" w:space="1" w:color="auto"/>
        </w:pBdr>
      </w:pPr>
    </w:p>
    <w:p w14:paraId="479FB575" w14:textId="77777777" w:rsidR="00673F93" w:rsidRDefault="00673F93" w:rsidP="00D74EEF">
      <w:pPr>
        <w:pBdr>
          <w:bottom w:val="single" w:sz="12" w:space="1" w:color="auto"/>
        </w:pBdr>
      </w:pPr>
    </w:p>
    <w:p w14:paraId="28F293AC" w14:textId="77777777" w:rsidR="00E9585C" w:rsidRPr="00935B22" w:rsidRDefault="00E9585C" w:rsidP="00D74EEF">
      <w:pPr>
        <w:pBdr>
          <w:bottom w:val="single" w:sz="12" w:space="1" w:color="auto"/>
        </w:pBdr>
      </w:pPr>
    </w:p>
    <w:p w14:paraId="3EA87F94" w14:textId="77777777" w:rsidR="00040D4C" w:rsidRDefault="00040D4C" w:rsidP="00040D4C"/>
    <w:p w14:paraId="71AE4A00" w14:textId="6DDB8E50" w:rsidR="00ED715A" w:rsidRDefault="00040D4C">
      <w:pPr>
        <w:rPr>
          <w:sz w:val="22"/>
          <w:szCs w:val="22"/>
        </w:rPr>
      </w:pPr>
      <w:r w:rsidRPr="0062175B">
        <w:rPr>
          <w:sz w:val="22"/>
          <w:szCs w:val="22"/>
        </w:rPr>
        <w:t xml:space="preserve">The Open Government Coalition is a citizens’ group established in 2009 to enhance public access to government information and ensure the transparency of </w:t>
      </w:r>
      <w:r w:rsidR="00B34153">
        <w:rPr>
          <w:sz w:val="22"/>
          <w:szCs w:val="22"/>
        </w:rPr>
        <w:t xml:space="preserve">D.C. </w:t>
      </w:r>
      <w:r w:rsidRPr="0062175B">
        <w:rPr>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sidR="00BB6FA0">
        <w:rPr>
          <w:sz w:val="22"/>
          <w:szCs w:val="22"/>
        </w:rPr>
        <w:t xml:space="preserve"> </w:t>
      </w:r>
    </w:p>
    <w:p w14:paraId="1AEF80E9" w14:textId="77777777" w:rsidR="00673F93" w:rsidRDefault="00673F93">
      <w:pPr>
        <w:rPr>
          <w:sz w:val="22"/>
          <w:szCs w:val="22"/>
        </w:rPr>
      </w:pPr>
    </w:p>
    <w:p w14:paraId="058E99EA" w14:textId="77777777" w:rsidR="00673F93" w:rsidRDefault="00673F93" w:rsidP="00673F93">
      <w:pPr>
        <w:rPr>
          <w:sz w:val="22"/>
          <w:szCs w:val="22"/>
        </w:rPr>
      </w:pPr>
      <w:r w:rsidRPr="0062175B">
        <w:rPr>
          <w:sz w:val="22"/>
          <w:szCs w:val="22"/>
        </w:rPr>
        <w:t>We work to maintain the legal foundation assuring open government –- the Open Meetings Act, the Freedom of Information Act and the mayor’s Open Data Policy — through public education, legislative advocacy, and litigation. For example, the Coalition has an extensive website with practical advice for finding information and a blog on news, holds public forums such as an annual Summit during Sunshine Week in March, testifies to the D.C. Council, and files complaints and court actions to correct agency problems. The Coalition has no staff but does its work through the volunteer efforts of 16 directors, who include reporters, community activists, experts with open government institutions overseas and at the federal level, and attorneys in media law, nonprofit legal services, and criminal</w:t>
      </w:r>
      <w:r w:rsidRPr="00935B22">
        <w:t xml:space="preserve"> </w:t>
      </w:r>
      <w:r w:rsidRPr="0062175B">
        <w:rPr>
          <w:sz w:val="22"/>
          <w:szCs w:val="22"/>
        </w:rPr>
        <w:t xml:space="preserve">defense. The Coalition participates in a National Freedom of Information Coalition where </w:t>
      </w:r>
      <w:r>
        <w:rPr>
          <w:sz w:val="22"/>
          <w:szCs w:val="22"/>
        </w:rPr>
        <w:t xml:space="preserve">advocates from </w:t>
      </w:r>
      <w:r w:rsidRPr="0062175B">
        <w:rPr>
          <w:sz w:val="22"/>
          <w:szCs w:val="22"/>
        </w:rPr>
        <w:t xml:space="preserve">dozens of states work together on common issues all are facing. </w:t>
      </w:r>
    </w:p>
    <w:p w14:paraId="7F1FCF77" w14:textId="77777777" w:rsidR="00ED715A" w:rsidRDefault="00ED715A">
      <w:pPr>
        <w:rPr>
          <w:sz w:val="22"/>
          <w:szCs w:val="22"/>
        </w:rPr>
      </w:pPr>
    </w:p>
    <w:sectPr w:rsidR="00ED715A" w:rsidSect="00256365">
      <w:footerReference w:type="even" r:id="rId11"/>
      <w:footerReference w:type="default" r:id="rId12"/>
      <w:pgSz w:w="12240" w:h="15840"/>
      <w:pgMar w:top="78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A2EA" w14:textId="77777777" w:rsidR="0093051B" w:rsidRDefault="0093051B" w:rsidP="005C77A6">
      <w:r>
        <w:separator/>
      </w:r>
    </w:p>
  </w:endnote>
  <w:endnote w:type="continuationSeparator" w:id="0">
    <w:p w14:paraId="7B8BE8B5" w14:textId="77777777" w:rsidR="0093051B" w:rsidRDefault="0093051B" w:rsidP="005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EndPr>
      <w:rPr>
        <w:rStyle w:val="PageNumber"/>
      </w:rPr>
    </w:sdtEnd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EndPr>
      <w:rPr>
        <w:rStyle w:val="PageNumber"/>
      </w:rPr>
    </w:sdtEnd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D616" w14:textId="77777777" w:rsidR="0093051B" w:rsidRDefault="0093051B" w:rsidP="005C77A6">
      <w:r>
        <w:separator/>
      </w:r>
    </w:p>
  </w:footnote>
  <w:footnote w:type="continuationSeparator" w:id="0">
    <w:p w14:paraId="1B6D7E29" w14:textId="77777777" w:rsidR="0093051B" w:rsidRDefault="0093051B" w:rsidP="005C77A6">
      <w:r>
        <w:continuationSeparator/>
      </w:r>
    </w:p>
  </w:footnote>
  <w:footnote w:id="1">
    <w:p w14:paraId="6EE014FE" w14:textId="0D4F33EC" w:rsidR="009C5215" w:rsidRPr="009C5215" w:rsidRDefault="00A831BA" w:rsidP="009C5215">
      <w:pPr>
        <w:pStyle w:val="FootnoteText"/>
        <w:rPr>
          <w:rFonts w:ascii="Times New Roman" w:hAnsi="Times New Roman" w:cs="Times New Roman"/>
        </w:rPr>
      </w:pPr>
      <w:r w:rsidRPr="00A831BA">
        <w:rPr>
          <w:rStyle w:val="FootnoteReference"/>
          <w:rFonts w:ascii="Times New Roman" w:hAnsi="Times New Roman" w:cs="Times New Roman"/>
        </w:rPr>
        <w:footnoteRef/>
      </w:r>
      <w:r w:rsidRPr="00A831BA">
        <w:rPr>
          <w:rFonts w:ascii="Times New Roman" w:hAnsi="Times New Roman" w:cs="Times New Roman"/>
        </w:rPr>
        <w:t xml:space="preserve"> </w:t>
      </w:r>
      <w:r>
        <w:rPr>
          <w:rFonts w:ascii="Times New Roman" w:hAnsi="Times New Roman" w:cs="Times New Roman"/>
        </w:rPr>
        <w:t xml:space="preserve">The Office of Open Government </w:t>
      </w:r>
      <w:r w:rsidR="009C5215">
        <w:rPr>
          <w:rFonts w:ascii="Times New Roman" w:hAnsi="Times New Roman" w:cs="Times New Roman"/>
        </w:rPr>
        <w:t xml:space="preserve">in February issued an advisory opinion reviewing the portal, in response to the Coalition’s complaint. </w:t>
      </w:r>
      <w:r w:rsidR="00CA70FD">
        <w:rPr>
          <w:rFonts w:ascii="Times New Roman" w:hAnsi="Times New Roman" w:cs="Times New Roman"/>
        </w:rPr>
        <w:t xml:space="preserve">Available at: </w:t>
      </w:r>
      <w:hyperlink r:id="rId1" w:history="1">
        <w:r w:rsidR="00CA70FD" w:rsidRPr="00616161">
          <w:rPr>
            <w:rStyle w:val="Hyperlink"/>
            <w:rFonts w:ascii="Times New Roman" w:hAnsi="Times New Roman" w:cs="Times New Roman"/>
          </w:rPr>
          <w:t>https://tinyurl.com/2p83kkwr</w:t>
        </w:r>
      </w:hyperlink>
      <w:r w:rsidR="00CA70FD">
        <w:rPr>
          <w:rFonts w:ascii="Times New Roman" w:hAnsi="Times New Roman" w:cs="Times New Roman"/>
        </w:rPr>
        <w:t xml:space="preserve">.  </w:t>
      </w:r>
      <w:r w:rsidR="009C5215">
        <w:rPr>
          <w:rFonts w:ascii="Times New Roman" w:hAnsi="Times New Roman" w:cs="Times New Roman"/>
        </w:rPr>
        <w:t xml:space="preserve">The </w:t>
      </w:r>
      <w:r w:rsidR="00FD71EE">
        <w:rPr>
          <w:rFonts w:ascii="Times New Roman" w:hAnsi="Times New Roman" w:cs="Times New Roman"/>
        </w:rPr>
        <w:t xml:space="preserve">opinion agreed that </w:t>
      </w:r>
      <w:r w:rsidR="00CA70FD">
        <w:rPr>
          <w:rFonts w:ascii="Times New Roman" w:hAnsi="Times New Roman" w:cs="Times New Roman"/>
        </w:rPr>
        <w:t>to the extent the public portal and agency management features are “</w:t>
      </w:r>
      <w:r w:rsidR="00FD71EE" w:rsidRPr="00FD71EE">
        <w:rPr>
          <w:rFonts w:ascii="Times New Roman" w:hAnsi="Times New Roman" w:cs="Times New Roman"/>
        </w:rPr>
        <w:t>held out to the public as aids to transparency,</w:t>
      </w:r>
      <w:r w:rsidR="00FD71EE">
        <w:rPr>
          <w:rFonts w:ascii="Times New Roman" w:hAnsi="Times New Roman" w:cs="Times New Roman"/>
        </w:rPr>
        <w:t xml:space="preserve"> </w:t>
      </w:r>
      <w:r w:rsidR="00FD71EE" w:rsidRPr="00FD71EE">
        <w:rPr>
          <w:rFonts w:ascii="Times New Roman" w:hAnsi="Times New Roman" w:cs="Times New Roman"/>
        </w:rPr>
        <w:t>but instead function as impediments, the District is improperly implementing the D.C. FOIA</w:t>
      </w:r>
      <w:r w:rsidR="00CA70FD">
        <w:rPr>
          <w:rFonts w:ascii="Times New Roman" w:hAnsi="Times New Roman" w:cs="Times New Roman"/>
        </w:rPr>
        <w:t xml:space="preserve"> </w:t>
      </w:r>
      <w:r w:rsidR="00FD71EE" w:rsidRPr="00FD71EE">
        <w:rPr>
          <w:rFonts w:ascii="Times New Roman" w:hAnsi="Times New Roman" w:cs="Times New Roman"/>
        </w:rPr>
        <w:t>requirements.</w:t>
      </w:r>
      <w:r w:rsidR="00FD71EE">
        <w:rPr>
          <w:rFonts w:ascii="Times New Roman" w:hAnsi="Times New Roman" w:cs="Times New Roman"/>
        </w:rPr>
        <w:t xml:space="preserve">” </w:t>
      </w:r>
      <w:r w:rsidR="00D62B52">
        <w:rPr>
          <w:rFonts w:ascii="Times New Roman" w:hAnsi="Times New Roman" w:cs="Times New Roman"/>
        </w:rPr>
        <w:t xml:space="preserve">After close review, the opinion noted </w:t>
      </w:r>
      <w:r w:rsidR="009C5215">
        <w:rPr>
          <w:rFonts w:ascii="Times New Roman" w:hAnsi="Times New Roman" w:cs="Times New Roman"/>
        </w:rPr>
        <w:t xml:space="preserve">legal errors </w:t>
      </w:r>
      <w:r w:rsidR="00FD71EE">
        <w:rPr>
          <w:rFonts w:ascii="Times New Roman" w:hAnsi="Times New Roman" w:cs="Times New Roman"/>
        </w:rPr>
        <w:t>and confusions</w:t>
      </w:r>
      <w:r w:rsidR="00D62B52">
        <w:rPr>
          <w:rFonts w:ascii="Times New Roman" w:hAnsi="Times New Roman" w:cs="Times New Roman"/>
        </w:rPr>
        <w:t xml:space="preserve"> and directed changes as well as </w:t>
      </w:r>
      <w:r w:rsidR="00B63187">
        <w:rPr>
          <w:rFonts w:ascii="Times New Roman" w:hAnsi="Times New Roman" w:cs="Times New Roman"/>
        </w:rPr>
        <w:t xml:space="preserve">further </w:t>
      </w:r>
      <w:r w:rsidR="00D62B52">
        <w:rPr>
          <w:rFonts w:ascii="Times New Roman" w:hAnsi="Times New Roman" w:cs="Times New Roman"/>
        </w:rPr>
        <w:t xml:space="preserve">review of the </w:t>
      </w:r>
      <w:r w:rsidR="00CA70FD">
        <w:rPr>
          <w:rFonts w:ascii="Times New Roman" w:hAnsi="Times New Roman" w:cs="Times New Roman"/>
        </w:rPr>
        <w:t>system performance by OCTO and contracting officials – a review never done since 2014 as far as we know.</w:t>
      </w:r>
      <w:r w:rsidR="009C5215">
        <w:rPr>
          <w:rFonts w:ascii="Times New Roman" w:hAnsi="Times New Roman" w:cs="Times New Roman"/>
        </w:rPr>
        <w:t xml:space="preserve"> </w:t>
      </w:r>
    </w:p>
    <w:p w14:paraId="5D2D3EE5" w14:textId="259240FF" w:rsidR="00A831BA" w:rsidRPr="00A831BA" w:rsidRDefault="00A831BA">
      <w:pPr>
        <w:pStyle w:val="FootnoteText"/>
        <w:rPr>
          <w:rFonts w:ascii="Times New Roman" w:hAnsi="Times New Roman" w:cs="Times New Roman"/>
        </w:rPr>
      </w:pPr>
    </w:p>
  </w:footnote>
  <w:footnote w:id="2">
    <w:p w14:paraId="1BE1177F" w14:textId="07A2C1CE" w:rsidR="006A1ED6" w:rsidRDefault="006A1ED6">
      <w:pPr>
        <w:pStyle w:val="FootnoteText"/>
        <w:rPr>
          <w:rFonts w:ascii="Times New Roman" w:hAnsi="Times New Roman" w:cs="Times New Roman"/>
        </w:rPr>
      </w:pPr>
      <w:r w:rsidRPr="006A1ED6">
        <w:rPr>
          <w:rStyle w:val="FootnoteReference"/>
          <w:rFonts w:ascii="Times New Roman" w:hAnsi="Times New Roman" w:cs="Times New Roman"/>
        </w:rPr>
        <w:footnoteRef/>
      </w:r>
      <w:r w:rsidRPr="006A1ED6">
        <w:rPr>
          <w:rFonts w:ascii="Times New Roman" w:hAnsi="Times New Roman" w:cs="Times New Roman"/>
        </w:rPr>
        <w:t xml:space="preserve"> </w:t>
      </w:r>
      <w:r w:rsidR="0093073B">
        <w:rPr>
          <w:rFonts w:ascii="Times New Roman" w:hAnsi="Times New Roman" w:cs="Times New Roman"/>
        </w:rPr>
        <w:t xml:space="preserve">Any attempt to “manage FOIA” </w:t>
      </w:r>
      <w:r w:rsidR="00AA0E1B">
        <w:rPr>
          <w:rFonts w:ascii="Times New Roman" w:hAnsi="Times New Roman" w:cs="Times New Roman"/>
        </w:rPr>
        <w:t xml:space="preserve">in D.C. </w:t>
      </w:r>
      <w:r w:rsidR="00AA43C1">
        <w:rPr>
          <w:rFonts w:ascii="Times New Roman" w:hAnsi="Times New Roman" w:cs="Times New Roman"/>
        </w:rPr>
        <w:t xml:space="preserve">would </w:t>
      </w:r>
      <w:r w:rsidR="00AA0E1B">
        <w:rPr>
          <w:rFonts w:ascii="Times New Roman" w:hAnsi="Times New Roman" w:cs="Times New Roman"/>
        </w:rPr>
        <w:t xml:space="preserve">involve 80 agencies of the executive branch (some mayoral, some independent), and the </w:t>
      </w:r>
      <w:r w:rsidR="00095702">
        <w:rPr>
          <w:rFonts w:ascii="Times New Roman" w:hAnsi="Times New Roman" w:cs="Times New Roman"/>
        </w:rPr>
        <w:t xml:space="preserve">200 </w:t>
      </w:r>
      <w:r w:rsidR="00AA0E1B">
        <w:rPr>
          <w:rFonts w:ascii="Times New Roman" w:hAnsi="Times New Roman" w:cs="Times New Roman"/>
        </w:rPr>
        <w:t xml:space="preserve">Advisory Neighborhood Commissions. The law </w:t>
      </w:r>
      <w:r w:rsidR="008B4394">
        <w:rPr>
          <w:rFonts w:ascii="Times New Roman" w:hAnsi="Times New Roman" w:cs="Times New Roman"/>
        </w:rPr>
        <w:t xml:space="preserve">also </w:t>
      </w:r>
      <w:r w:rsidR="00AA0E1B">
        <w:rPr>
          <w:rFonts w:ascii="Times New Roman" w:hAnsi="Times New Roman" w:cs="Times New Roman"/>
        </w:rPr>
        <w:t>applies to the D.C. Council which manages its own</w:t>
      </w:r>
      <w:r w:rsidR="008B4394">
        <w:rPr>
          <w:rFonts w:ascii="Times New Roman" w:hAnsi="Times New Roman" w:cs="Times New Roman"/>
        </w:rPr>
        <w:t xml:space="preserve"> modest flow of under a hundred requests annually</w:t>
      </w:r>
      <w:r w:rsidR="00AA0E1B">
        <w:rPr>
          <w:rFonts w:ascii="Times New Roman" w:hAnsi="Times New Roman" w:cs="Times New Roman"/>
        </w:rPr>
        <w:t xml:space="preserve">. </w:t>
      </w:r>
      <w:r w:rsidR="0093073B">
        <w:rPr>
          <w:rFonts w:ascii="Times New Roman" w:hAnsi="Times New Roman" w:cs="Times New Roman"/>
        </w:rPr>
        <w:t xml:space="preserve">In the states, </w:t>
      </w:r>
      <w:r w:rsidR="00AA0E1B">
        <w:rPr>
          <w:rFonts w:ascii="Times New Roman" w:hAnsi="Times New Roman" w:cs="Times New Roman"/>
        </w:rPr>
        <w:t xml:space="preserve">the task is staggering, with 10,000 entities subject to the law in New York and 2,300 in </w:t>
      </w:r>
      <w:r w:rsidR="00095702">
        <w:rPr>
          <w:rFonts w:ascii="Times New Roman" w:hAnsi="Times New Roman" w:cs="Times New Roman"/>
        </w:rPr>
        <w:t>Washington.</w:t>
      </w:r>
      <w:r w:rsidR="008378D5">
        <w:rPr>
          <w:rFonts w:ascii="Times New Roman" w:hAnsi="Times New Roman" w:cs="Times New Roman"/>
        </w:rPr>
        <w:t xml:space="preserve"> The District of Columbia receives about 10,000 requests a year; </w:t>
      </w:r>
      <w:r w:rsidR="007919B3">
        <w:rPr>
          <w:rFonts w:ascii="Times New Roman" w:hAnsi="Times New Roman" w:cs="Times New Roman"/>
        </w:rPr>
        <w:t xml:space="preserve">Washington </w:t>
      </w:r>
      <w:r w:rsidR="006669AC">
        <w:rPr>
          <w:rFonts w:ascii="Times New Roman" w:hAnsi="Times New Roman" w:cs="Times New Roman"/>
        </w:rPr>
        <w:t>285,000;</w:t>
      </w:r>
      <w:r w:rsidR="007919B3">
        <w:rPr>
          <w:rFonts w:ascii="Times New Roman" w:hAnsi="Times New Roman" w:cs="Times New Roman"/>
        </w:rPr>
        <w:t xml:space="preserve"> </w:t>
      </w:r>
      <w:r w:rsidR="006F2505">
        <w:rPr>
          <w:rFonts w:ascii="Times New Roman" w:hAnsi="Times New Roman" w:cs="Times New Roman"/>
        </w:rPr>
        <w:t>Massachusetts 22,000</w:t>
      </w:r>
      <w:r w:rsidR="007919B3">
        <w:rPr>
          <w:rFonts w:ascii="Times New Roman" w:hAnsi="Times New Roman" w:cs="Times New Roman"/>
        </w:rPr>
        <w:t>; Vermont 4,200.</w:t>
      </w:r>
      <w:r w:rsidR="00AA0E1B">
        <w:rPr>
          <w:rFonts w:ascii="Times New Roman" w:hAnsi="Times New Roman" w:cs="Times New Roman"/>
        </w:rPr>
        <w:t xml:space="preserve"> Christina Koningiser, “Transparency Deserts,” </w:t>
      </w:r>
      <w:r w:rsidR="008B4394" w:rsidRPr="008B4394">
        <w:rPr>
          <w:rFonts w:ascii="Times New Roman" w:hAnsi="Times New Roman" w:cs="Times New Roman"/>
          <w:i/>
          <w:iCs/>
        </w:rPr>
        <w:t>Northwestern Univ. Law Review</w:t>
      </w:r>
      <w:r w:rsidR="008B4394">
        <w:rPr>
          <w:rFonts w:ascii="Times New Roman" w:hAnsi="Times New Roman" w:cs="Times New Roman"/>
        </w:rPr>
        <w:t>, Vol. 114</w:t>
      </w:r>
      <w:r w:rsidR="00341A40">
        <w:rPr>
          <w:rFonts w:ascii="Times New Roman" w:hAnsi="Times New Roman" w:cs="Times New Roman"/>
        </w:rPr>
        <w:t xml:space="preserve">, 1461 </w:t>
      </w:r>
      <w:r w:rsidR="008B4394">
        <w:rPr>
          <w:rFonts w:ascii="Times New Roman" w:hAnsi="Times New Roman" w:cs="Times New Roman"/>
        </w:rPr>
        <w:t>(2020)</w:t>
      </w:r>
      <w:r w:rsidR="006F2505">
        <w:rPr>
          <w:rFonts w:ascii="Times New Roman" w:hAnsi="Times New Roman" w:cs="Times New Roman"/>
        </w:rPr>
        <w:t>, at p.1468 n.</w:t>
      </w:r>
      <w:r w:rsidR="008B4394">
        <w:rPr>
          <w:rFonts w:ascii="Times New Roman" w:hAnsi="Times New Roman" w:cs="Times New Roman"/>
        </w:rPr>
        <w:t>32</w:t>
      </w:r>
      <w:r w:rsidR="006F2505">
        <w:rPr>
          <w:rFonts w:ascii="Times New Roman" w:hAnsi="Times New Roman" w:cs="Times New Roman"/>
        </w:rPr>
        <w:t xml:space="preserve">, also </w:t>
      </w:r>
      <w:r w:rsidR="007919B3">
        <w:rPr>
          <w:rFonts w:ascii="Times New Roman" w:hAnsi="Times New Roman" w:cs="Times New Roman"/>
        </w:rPr>
        <w:t>p.1477</w:t>
      </w:r>
      <w:r w:rsidR="008B4394">
        <w:rPr>
          <w:rFonts w:ascii="Times New Roman" w:hAnsi="Times New Roman" w:cs="Times New Roman"/>
        </w:rPr>
        <w:t xml:space="preserve">. Available at: </w:t>
      </w:r>
      <w:hyperlink r:id="rId2" w:history="1">
        <w:r w:rsidR="008B4394" w:rsidRPr="00616161">
          <w:rPr>
            <w:rStyle w:val="Hyperlink"/>
            <w:rFonts w:ascii="Times New Roman" w:hAnsi="Times New Roman" w:cs="Times New Roman"/>
          </w:rPr>
          <w:t>https://tinyurl.com/2p8vtnnt</w:t>
        </w:r>
      </w:hyperlink>
      <w:r w:rsidR="008B4394">
        <w:rPr>
          <w:rFonts w:ascii="Times New Roman" w:hAnsi="Times New Roman" w:cs="Times New Roman"/>
        </w:rPr>
        <w:t xml:space="preserve">. </w:t>
      </w:r>
    </w:p>
    <w:p w14:paraId="7CB9E0C8" w14:textId="77777777" w:rsidR="00C219D0" w:rsidRPr="006A1ED6" w:rsidRDefault="00C219D0">
      <w:pPr>
        <w:pStyle w:val="FootnoteText"/>
        <w:rPr>
          <w:rFonts w:ascii="Times New Roman" w:hAnsi="Times New Roman" w:cs="Times New Roman"/>
        </w:rPr>
      </w:pPr>
    </w:p>
  </w:footnote>
  <w:footnote w:id="3">
    <w:p w14:paraId="318FB290" w14:textId="2332FDC2" w:rsidR="00550E11" w:rsidRPr="00550E11" w:rsidRDefault="00550E11">
      <w:pPr>
        <w:pStyle w:val="FootnoteText"/>
        <w:rPr>
          <w:rFonts w:ascii="Times New Roman" w:hAnsi="Times New Roman" w:cs="Times New Roman"/>
        </w:rPr>
      </w:pPr>
      <w:r w:rsidRPr="00550E11">
        <w:rPr>
          <w:rStyle w:val="FootnoteReference"/>
          <w:rFonts w:ascii="Times New Roman" w:hAnsi="Times New Roman" w:cs="Times New Roman"/>
        </w:rPr>
        <w:footnoteRef/>
      </w:r>
      <w:r w:rsidRPr="00550E11">
        <w:rPr>
          <w:rFonts w:ascii="Times New Roman" w:hAnsi="Times New Roman" w:cs="Times New Roman"/>
        </w:rPr>
        <w:t xml:space="preserve"> </w:t>
      </w:r>
      <w:r w:rsidR="00341A40">
        <w:rPr>
          <w:rFonts w:ascii="Times New Roman" w:hAnsi="Times New Roman" w:cs="Times New Roman"/>
        </w:rPr>
        <w:t>The lab is here:</w:t>
      </w:r>
      <w:r w:rsidR="00341A40" w:rsidRPr="00341A40">
        <w:t xml:space="preserve"> </w:t>
      </w:r>
      <w:hyperlink r:id="rId3" w:history="1">
        <w:r w:rsidR="00341A40" w:rsidRPr="00616161">
          <w:rPr>
            <w:rStyle w:val="Hyperlink"/>
            <w:rFonts w:ascii="Times New Roman" w:hAnsi="Times New Roman" w:cs="Times New Roman"/>
          </w:rPr>
          <w:t>https://octo.dc.gov/octo-usability-lab</w:t>
        </w:r>
      </w:hyperlink>
      <w:r w:rsidR="00341A40">
        <w:rPr>
          <w:rFonts w:ascii="Times New Roman" w:hAnsi="Times New Roman" w:cs="Times New Roman"/>
        </w:rPr>
        <w:t xml:space="preserve">. </w:t>
      </w:r>
      <w:r w:rsidR="00AA43C1">
        <w:rPr>
          <w:rFonts w:ascii="Times New Roman" w:hAnsi="Times New Roman" w:cs="Times New Roman"/>
        </w:rPr>
        <w:t xml:space="preserve">The </w:t>
      </w:r>
      <w:r w:rsidR="005B35E8">
        <w:rPr>
          <w:rFonts w:ascii="Times New Roman" w:hAnsi="Times New Roman" w:cs="Times New Roman"/>
        </w:rPr>
        <w:t xml:space="preserve">user testing </w:t>
      </w:r>
      <w:r w:rsidR="00AA43C1">
        <w:rPr>
          <w:rFonts w:ascii="Times New Roman" w:hAnsi="Times New Roman" w:cs="Times New Roman"/>
        </w:rPr>
        <w:t xml:space="preserve">protocol is </w:t>
      </w:r>
      <w:r w:rsidR="005B35E8">
        <w:rPr>
          <w:rFonts w:ascii="Times New Roman" w:hAnsi="Times New Roman" w:cs="Times New Roman"/>
        </w:rPr>
        <w:t>reported to be f</w:t>
      </w:r>
      <w:r w:rsidR="00AA43C1">
        <w:rPr>
          <w:rFonts w:ascii="Times New Roman" w:hAnsi="Times New Roman" w:cs="Times New Roman"/>
        </w:rPr>
        <w:t>rom</w:t>
      </w:r>
      <w:r w:rsidR="00341A40">
        <w:rPr>
          <w:rFonts w:ascii="Times New Roman" w:hAnsi="Times New Roman" w:cs="Times New Roman"/>
        </w:rPr>
        <w:t xml:space="preserve"> </w:t>
      </w:r>
      <w:r>
        <w:rPr>
          <w:rFonts w:ascii="Times New Roman" w:hAnsi="Times New Roman" w:cs="Times New Roman"/>
        </w:rPr>
        <w:t>SiteImprove</w:t>
      </w:r>
      <w:r w:rsidR="00AA43C1">
        <w:rPr>
          <w:rFonts w:ascii="Times New Roman" w:hAnsi="Times New Roman" w:cs="Times New Roman"/>
        </w:rPr>
        <w:t xml:space="preserve">, </w:t>
      </w:r>
      <w:r>
        <w:rPr>
          <w:rFonts w:ascii="Times New Roman" w:hAnsi="Times New Roman" w:cs="Times New Roman"/>
        </w:rPr>
        <w:t xml:space="preserve">a global firm that helps clients evaluate </w:t>
      </w:r>
      <w:r w:rsidR="00AA43C1">
        <w:rPr>
          <w:rFonts w:ascii="Times New Roman" w:hAnsi="Times New Roman" w:cs="Times New Roman"/>
        </w:rPr>
        <w:t xml:space="preserve">their </w:t>
      </w:r>
      <w:r>
        <w:rPr>
          <w:rFonts w:ascii="Times New Roman" w:hAnsi="Times New Roman" w:cs="Times New Roman"/>
        </w:rPr>
        <w:t xml:space="preserve">web activity. See here: </w:t>
      </w:r>
      <w:hyperlink r:id="rId4" w:history="1">
        <w:r w:rsidR="008B4394" w:rsidRPr="00616161">
          <w:rPr>
            <w:rStyle w:val="Hyperlink"/>
            <w:rFonts w:ascii="Times New Roman" w:hAnsi="Times New Roman" w:cs="Times New Roman"/>
          </w:rPr>
          <w:t>https://siteimprove.com/en-us/content-experience/</w:t>
        </w:r>
      </w:hyperlink>
      <w:r>
        <w:rPr>
          <w:rFonts w:ascii="Times New Roman" w:hAnsi="Times New Roman" w:cs="Times New Roman"/>
        </w:rPr>
        <w:t>.</w:t>
      </w:r>
      <w:r w:rsidR="008B4394">
        <w:rPr>
          <w:rFonts w:ascii="Times New Roman" w:hAnsi="Times New Roman" w:cs="Times New Roman"/>
        </w:rPr>
        <w:t xml:space="preserve"> </w:t>
      </w:r>
    </w:p>
  </w:footnote>
  <w:footnote w:id="4">
    <w:p w14:paraId="041FDFEF" w14:textId="3C4E3120" w:rsidR="00002294" w:rsidRPr="00002294" w:rsidRDefault="00CF3412" w:rsidP="00002294">
      <w:pPr>
        <w:pStyle w:val="FootnoteText"/>
        <w:rPr>
          <w:rFonts w:ascii="Times New Roman" w:hAnsi="Times New Roman" w:cs="Times New Roman"/>
        </w:rPr>
      </w:pPr>
      <w:r w:rsidRPr="00002294">
        <w:rPr>
          <w:rStyle w:val="FootnoteReference"/>
          <w:rFonts w:ascii="Times New Roman" w:hAnsi="Times New Roman" w:cs="Times New Roman"/>
        </w:rPr>
        <w:footnoteRef/>
      </w:r>
      <w:r w:rsidRPr="00002294">
        <w:rPr>
          <w:rFonts w:ascii="Times New Roman" w:hAnsi="Times New Roman" w:cs="Times New Roman"/>
        </w:rPr>
        <w:t xml:space="preserve"> </w:t>
      </w:r>
      <w:r w:rsidR="00002294">
        <w:rPr>
          <w:rFonts w:ascii="Times New Roman" w:hAnsi="Times New Roman" w:cs="Times New Roman"/>
        </w:rPr>
        <w:t xml:space="preserve">The National Archives </w:t>
      </w:r>
      <w:r w:rsidR="005A3DF2">
        <w:rPr>
          <w:rFonts w:ascii="Times New Roman" w:hAnsi="Times New Roman" w:cs="Times New Roman"/>
        </w:rPr>
        <w:t xml:space="preserve">and Records Administration </w:t>
      </w:r>
      <w:r w:rsidR="00002294">
        <w:rPr>
          <w:rFonts w:ascii="Times New Roman" w:hAnsi="Times New Roman" w:cs="Times New Roman"/>
        </w:rPr>
        <w:t xml:space="preserve">includes the federal FOIA ombudsman, Office of Government Information Services (OGIS) that held </w:t>
      </w:r>
      <w:r w:rsidR="00002294" w:rsidRPr="00002294">
        <w:rPr>
          <w:rFonts w:ascii="Times New Roman" w:hAnsi="Times New Roman" w:cs="Times New Roman"/>
        </w:rPr>
        <w:t>a FOIA tech showcase</w:t>
      </w:r>
      <w:r w:rsidR="00002294">
        <w:rPr>
          <w:rFonts w:ascii="Times New Roman" w:hAnsi="Times New Roman" w:cs="Times New Roman"/>
        </w:rPr>
        <w:t xml:space="preserve"> in February. Several dozen </w:t>
      </w:r>
      <w:r w:rsidR="00002294" w:rsidRPr="00002294">
        <w:rPr>
          <w:rFonts w:ascii="Times New Roman" w:hAnsi="Times New Roman" w:cs="Times New Roman"/>
        </w:rPr>
        <w:t xml:space="preserve">companies </w:t>
      </w:r>
      <w:r w:rsidR="00002294">
        <w:rPr>
          <w:rFonts w:ascii="Times New Roman" w:hAnsi="Times New Roman" w:cs="Times New Roman"/>
        </w:rPr>
        <w:t xml:space="preserve">presented competing software that </w:t>
      </w:r>
      <w:r w:rsidR="004C18F2">
        <w:rPr>
          <w:rFonts w:ascii="Times New Roman" w:hAnsi="Times New Roman" w:cs="Times New Roman"/>
        </w:rPr>
        <w:t>h</w:t>
      </w:r>
      <w:r w:rsidR="00002294">
        <w:rPr>
          <w:rFonts w:ascii="Times New Roman" w:hAnsi="Times New Roman" w:cs="Times New Roman"/>
        </w:rPr>
        <w:t xml:space="preserve">as sprung up in the years since AINS began. OGIS placed the presentations </w:t>
      </w:r>
      <w:r w:rsidR="00002294" w:rsidRPr="00002294">
        <w:rPr>
          <w:rFonts w:ascii="Times New Roman" w:hAnsi="Times New Roman" w:cs="Times New Roman"/>
        </w:rPr>
        <w:t xml:space="preserve">online at </w:t>
      </w:r>
      <w:hyperlink r:id="rId5" w:tgtFrame="_blank" w:history="1">
        <w:r w:rsidR="00002294" w:rsidRPr="00002294">
          <w:rPr>
            <w:rStyle w:val="Hyperlink"/>
            <w:rFonts w:ascii="Times New Roman" w:hAnsi="Times New Roman" w:cs="Times New Roman"/>
          </w:rPr>
          <w:t>https://www.archives.gov/ogis/about-ogis/chief-foia-officers-council/nexgen-foia-showcase</w:t>
        </w:r>
      </w:hyperlink>
      <w:r w:rsidR="00002294" w:rsidRPr="00002294">
        <w:rPr>
          <w:rFonts w:ascii="Times New Roman" w:hAnsi="Times New Roman" w:cs="Times New Roman"/>
        </w:rPr>
        <w:t xml:space="preserve">. </w:t>
      </w:r>
      <w:r w:rsidR="00002294">
        <w:rPr>
          <w:rFonts w:ascii="Times New Roman" w:hAnsi="Times New Roman" w:cs="Times New Roman"/>
        </w:rPr>
        <w:t xml:space="preserve">Short video </w:t>
      </w:r>
      <w:r w:rsidR="00002294" w:rsidRPr="00002294">
        <w:rPr>
          <w:rFonts w:ascii="Times New Roman" w:hAnsi="Times New Roman" w:cs="Times New Roman"/>
        </w:rPr>
        <w:t>presentations from each</w:t>
      </w:r>
      <w:r w:rsidR="00002294">
        <w:rPr>
          <w:rFonts w:ascii="Times New Roman" w:hAnsi="Times New Roman" w:cs="Times New Roman"/>
        </w:rPr>
        <w:t xml:space="preserve"> are on YouTube; required watching for D.C. FOIA officials</w:t>
      </w:r>
      <w:r w:rsidR="004C18F2">
        <w:rPr>
          <w:rFonts w:ascii="Times New Roman" w:hAnsi="Times New Roman" w:cs="Times New Roman"/>
        </w:rPr>
        <w:t>, who may not be aware of the creativity and user-sensitivity in a new generation of request management software offerings</w:t>
      </w:r>
      <w:r w:rsidR="00002294">
        <w:rPr>
          <w:rFonts w:ascii="Times New Roman" w:hAnsi="Times New Roman" w:cs="Times New Roman"/>
        </w:rPr>
        <w:t xml:space="preserve">. Available at: </w:t>
      </w:r>
      <w:r w:rsidR="00002294" w:rsidRPr="00002294">
        <w:rPr>
          <w:rFonts w:ascii="Times New Roman" w:hAnsi="Times New Roman" w:cs="Times New Roman"/>
        </w:rPr>
        <w:t xml:space="preserve"> </w:t>
      </w:r>
      <w:hyperlink r:id="rId6" w:tgtFrame="_blank" w:history="1">
        <w:r w:rsidR="00002294" w:rsidRPr="00002294">
          <w:rPr>
            <w:rStyle w:val="Hyperlink"/>
            <w:rFonts w:ascii="Times New Roman" w:hAnsi="Times New Roman" w:cs="Times New Roman"/>
          </w:rPr>
          <w:t>https://www.youtube.com/playlist?list=PLugwVCjzrJsWw0q-NEFgx40PJAX0_Jn9t</w:t>
        </w:r>
      </w:hyperlink>
      <w:r w:rsidR="00002294" w:rsidRPr="00002294">
        <w:rPr>
          <w:rFonts w:ascii="Times New Roman" w:hAnsi="Times New Roman" w:cs="Times New Roman"/>
        </w:rPr>
        <w:t>.</w:t>
      </w:r>
    </w:p>
    <w:p w14:paraId="0024740B" w14:textId="55DE8BF2" w:rsidR="00CF3412" w:rsidRPr="00002294" w:rsidRDefault="00CF3412">
      <w:pPr>
        <w:pStyle w:val="FootnoteText"/>
        <w:rPr>
          <w:rFonts w:ascii="Times New Roman" w:hAnsi="Times New Roman" w:cs="Times New Roman"/>
        </w:rPr>
      </w:pPr>
    </w:p>
  </w:footnote>
  <w:footnote w:id="5">
    <w:p w14:paraId="1CEF4C3C" w14:textId="67F035E2" w:rsidR="00FA55D1" w:rsidRPr="00FA55D1" w:rsidRDefault="00FA55D1" w:rsidP="00FA55D1">
      <w:pPr>
        <w:rPr>
          <w:sz w:val="20"/>
          <w:szCs w:val="20"/>
        </w:rPr>
      </w:pPr>
      <w:r w:rsidRPr="00FA55D1">
        <w:rPr>
          <w:rStyle w:val="FootnoteReference"/>
        </w:rPr>
        <w:footnoteRef/>
      </w:r>
      <w:r w:rsidRPr="00FA55D1">
        <w:t xml:space="preserve"> </w:t>
      </w:r>
      <w:r w:rsidRPr="00FA55D1">
        <w:rPr>
          <w:rFonts w:eastAsiaTheme="minorHAnsi"/>
          <w:i/>
          <w:iCs/>
          <w:sz w:val="20"/>
          <w:szCs w:val="20"/>
        </w:rPr>
        <w:t>Executive Order on Transforming Federal Customer Experience and Service Delivery to Rebuild Trust in Government</w:t>
      </w:r>
      <w:r>
        <w:rPr>
          <w:i/>
          <w:iCs/>
        </w:rPr>
        <w:t xml:space="preserve">, </w:t>
      </w:r>
      <w:r w:rsidRPr="00FA55D1">
        <w:rPr>
          <w:sz w:val="20"/>
          <w:szCs w:val="20"/>
        </w:rPr>
        <w:t>E.O</w:t>
      </w:r>
      <w:r w:rsidRPr="00FA55D1">
        <w:rPr>
          <w:i/>
          <w:iCs/>
          <w:sz w:val="20"/>
          <w:szCs w:val="20"/>
        </w:rPr>
        <w:t xml:space="preserve">. </w:t>
      </w:r>
      <w:r w:rsidRPr="00FA55D1">
        <w:rPr>
          <w:sz w:val="20"/>
          <w:szCs w:val="20"/>
        </w:rPr>
        <w:t>14058</w:t>
      </w:r>
      <w:r w:rsidRPr="00FA55D1">
        <w:rPr>
          <w:sz w:val="20"/>
          <w:szCs w:val="20"/>
        </w:rPr>
        <w:t xml:space="preserve"> (December 16, 2021). Available at:</w:t>
      </w:r>
      <w:r>
        <w:rPr>
          <w:sz w:val="20"/>
          <w:szCs w:val="20"/>
        </w:rPr>
        <w:t xml:space="preserve"> </w:t>
      </w:r>
      <w:hyperlink r:id="rId7" w:history="1">
        <w:r w:rsidR="00A06A7B" w:rsidRPr="00616161">
          <w:rPr>
            <w:rStyle w:val="Hyperlink"/>
            <w:sz w:val="20"/>
            <w:szCs w:val="20"/>
          </w:rPr>
          <w:t>https://tinyurl.com/2rteh6fz</w:t>
        </w:r>
      </w:hyperlink>
      <w:r w:rsidR="00A06A7B">
        <w:rPr>
          <w:sz w:val="20"/>
          <w:szCs w:val="20"/>
        </w:rPr>
        <w:t xml:space="preserve">. </w:t>
      </w:r>
      <w:r w:rsidRPr="00FA55D1">
        <w:rPr>
          <w:i/>
          <w:iCs/>
          <w:sz w:val="20"/>
          <w:szCs w:val="20"/>
        </w:rPr>
        <w:t> </w:t>
      </w:r>
    </w:p>
    <w:p w14:paraId="007572FB" w14:textId="34C4CF6B" w:rsidR="00FA55D1" w:rsidRDefault="00FA55D1">
      <w:pPr>
        <w:pStyle w:val="FootnoteText"/>
      </w:pPr>
    </w:p>
  </w:footnote>
  <w:footnote w:id="6">
    <w:p w14:paraId="035EABB5" w14:textId="265CB53C" w:rsidR="00FA55D1" w:rsidRDefault="00FA55D1" w:rsidP="00FA55D1">
      <w:pPr>
        <w:pStyle w:val="FootnoteText"/>
        <w:rPr>
          <w:rFonts w:ascii="Times New Roman" w:hAnsi="Times New Roman" w:cs="Times New Roman"/>
        </w:rPr>
      </w:pPr>
      <w:r w:rsidRPr="00CA5767">
        <w:rPr>
          <w:rStyle w:val="FootnoteReference"/>
          <w:rFonts w:ascii="Times New Roman" w:hAnsi="Times New Roman" w:cs="Times New Roman"/>
        </w:rPr>
        <w:footnoteRef/>
      </w:r>
      <w:r w:rsidRPr="00CA5767">
        <w:rPr>
          <w:rFonts w:ascii="Times New Roman" w:hAnsi="Times New Roman" w:cs="Times New Roman"/>
        </w:rPr>
        <w:t xml:space="preserve"> </w:t>
      </w:r>
      <w:r>
        <w:rPr>
          <w:rFonts w:ascii="Times New Roman" w:hAnsi="Times New Roman" w:cs="Times New Roman"/>
        </w:rPr>
        <w:t xml:space="preserve">OCTO, </w:t>
      </w:r>
      <w:r w:rsidRPr="00CA5767">
        <w:rPr>
          <w:rFonts w:ascii="Times New Roman" w:hAnsi="Times New Roman" w:cs="Times New Roman"/>
          <w:i/>
          <w:iCs/>
        </w:rPr>
        <w:t>Draft Technology Strategic Plan for D.C.: Unleashing the Possible</w:t>
      </w:r>
      <w:r>
        <w:rPr>
          <w:rFonts w:ascii="Times New Roman" w:hAnsi="Times New Roman" w:cs="Times New Roman"/>
        </w:rPr>
        <w:t xml:space="preserve"> (November 8, 2019). Available at: </w:t>
      </w:r>
      <w:hyperlink r:id="rId8" w:history="1">
        <w:r w:rsidRPr="00616161">
          <w:rPr>
            <w:rStyle w:val="Hyperlink"/>
            <w:rFonts w:ascii="Times New Roman" w:hAnsi="Times New Roman" w:cs="Times New Roman"/>
          </w:rPr>
          <w:t>https://tinyurl.com/4am7nw5n</w:t>
        </w:r>
      </w:hyperlink>
      <w:r>
        <w:rPr>
          <w:rFonts w:ascii="Times New Roman" w:hAnsi="Times New Roman" w:cs="Times New Roman"/>
        </w:rPr>
        <w:t xml:space="preserve">. </w:t>
      </w:r>
    </w:p>
    <w:p w14:paraId="4DA18D5C" w14:textId="77777777" w:rsidR="00CD20D1" w:rsidRPr="00CA5767" w:rsidRDefault="00CD20D1" w:rsidP="00FA55D1">
      <w:pPr>
        <w:pStyle w:val="FootnoteText"/>
        <w:rPr>
          <w:rFonts w:ascii="Times New Roman" w:hAnsi="Times New Roman" w:cs="Times New Roman"/>
        </w:rPr>
      </w:pPr>
    </w:p>
  </w:footnote>
  <w:footnote w:id="7">
    <w:p w14:paraId="03AE6980" w14:textId="20284546" w:rsidR="00F61CC9" w:rsidRPr="00F61CC9" w:rsidRDefault="00CD20D1" w:rsidP="00F61CC9">
      <w:pPr>
        <w:rPr>
          <w:sz w:val="20"/>
          <w:szCs w:val="20"/>
        </w:rPr>
      </w:pPr>
      <w:r w:rsidRPr="00CD20D1">
        <w:rPr>
          <w:rStyle w:val="FootnoteReference"/>
        </w:rPr>
        <w:footnoteRef/>
      </w:r>
      <w:r w:rsidRPr="00CD20D1">
        <w:t xml:space="preserve"> </w:t>
      </w:r>
      <w:r w:rsidRPr="00F61CC9">
        <w:rPr>
          <w:rFonts w:eastAsiaTheme="minorHAnsi"/>
          <w:sz w:val="20"/>
          <w:szCs w:val="20"/>
        </w:rPr>
        <w:t>Office of the D</w:t>
      </w:r>
      <w:r w:rsidR="00716EF0" w:rsidRPr="00F61CC9">
        <w:rPr>
          <w:sz w:val="20"/>
          <w:szCs w:val="20"/>
        </w:rPr>
        <w:t xml:space="preserve">.C. </w:t>
      </w:r>
      <w:r w:rsidRPr="00F61CC9">
        <w:rPr>
          <w:rFonts w:eastAsiaTheme="minorHAnsi"/>
          <w:sz w:val="20"/>
          <w:szCs w:val="20"/>
        </w:rPr>
        <w:t>Auditor</w:t>
      </w:r>
      <w:r w:rsidRPr="00F61CC9">
        <w:rPr>
          <w:sz w:val="20"/>
          <w:szCs w:val="20"/>
        </w:rPr>
        <w:t xml:space="preserve">, </w:t>
      </w:r>
      <w:r w:rsidRPr="00F61CC9">
        <w:rPr>
          <w:rFonts w:eastAsiaTheme="minorHAnsi"/>
          <w:i/>
          <w:iCs/>
          <w:sz w:val="20"/>
          <w:szCs w:val="20"/>
        </w:rPr>
        <w:t>Planning, Buying, and Implementing A New Information Technology System: A Case Study of the D.C. Business Portal</w:t>
      </w:r>
      <w:r w:rsidRPr="00F61CC9">
        <w:rPr>
          <w:sz w:val="20"/>
          <w:szCs w:val="20"/>
        </w:rPr>
        <w:t xml:space="preserve"> (</w:t>
      </w:r>
      <w:r w:rsidRPr="00F61CC9">
        <w:rPr>
          <w:rFonts w:eastAsiaTheme="minorHAnsi"/>
          <w:sz w:val="20"/>
          <w:szCs w:val="20"/>
        </w:rPr>
        <w:t>February 9, 2017</w:t>
      </w:r>
      <w:r w:rsidRPr="00F61CC9">
        <w:rPr>
          <w:sz w:val="20"/>
          <w:szCs w:val="20"/>
        </w:rPr>
        <w:t>).</w:t>
      </w:r>
      <w:r w:rsidRPr="00F61CC9">
        <w:rPr>
          <w:rFonts w:eastAsiaTheme="minorHAnsi"/>
          <w:sz w:val="20"/>
          <w:szCs w:val="20"/>
        </w:rPr>
        <w:t xml:space="preserve"> </w:t>
      </w:r>
      <w:r w:rsidR="005A3DF2" w:rsidRPr="00F61CC9">
        <w:rPr>
          <w:sz w:val="20"/>
          <w:szCs w:val="20"/>
        </w:rPr>
        <w:t xml:space="preserve"> </w:t>
      </w:r>
      <w:r w:rsidR="00673F93" w:rsidRPr="00F61CC9">
        <w:rPr>
          <w:sz w:val="20"/>
          <w:szCs w:val="20"/>
        </w:rPr>
        <w:t>Also,</w:t>
      </w:r>
      <w:r w:rsidR="005A3DF2" w:rsidRPr="00F61CC9">
        <w:rPr>
          <w:sz w:val="20"/>
          <w:szCs w:val="20"/>
        </w:rPr>
        <w:t xml:space="preserve"> in 2017 the Auditor reviewed </w:t>
      </w:r>
      <w:r w:rsidR="001027DB" w:rsidRPr="00F61CC9">
        <w:rPr>
          <w:sz w:val="20"/>
          <w:szCs w:val="20"/>
        </w:rPr>
        <w:t xml:space="preserve">the slim </w:t>
      </w:r>
      <w:r w:rsidR="005A3DF2" w:rsidRPr="00F61CC9">
        <w:rPr>
          <w:sz w:val="20"/>
          <w:szCs w:val="20"/>
        </w:rPr>
        <w:t xml:space="preserve">protection of </w:t>
      </w:r>
      <w:r w:rsidR="001027DB" w:rsidRPr="00F61CC9">
        <w:rPr>
          <w:sz w:val="20"/>
          <w:szCs w:val="20"/>
        </w:rPr>
        <w:t>personally identifiable information</w:t>
      </w:r>
      <w:r w:rsidR="005A3DF2" w:rsidRPr="00F61CC9">
        <w:rPr>
          <w:sz w:val="20"/>
          <w:szCs w:val="20"/>
        </w:rPr>
        <w:t xml:space="preserve"> </w:t>
      </w:r>
      <w:r w:rsidR="002A777C">
        <w:rPr>
          <w:sz w:val="20"/>
          <w:szCs w:val="20"/>
        </w:rPr>
        <w:t>(PII) i</w:t>
      </w:r>
      <w:r w:rsidR="005A3DF2" w:rsidRPr="00F61CC9">
        <w:rPr>
          <w:sz w:val="20"/>
          <w:szCs w:val="20"/>
        </w:rPr>
        <w:t xml:space="preserve">n agency </w:t>
      </w:r>
      <w:r w:rsidR="002A777C">
        <w:rPr>
          <w:sz w:val="20"/>
          <w:szCs w:val="20"/>
        </w:rPr>
        <w:t xml:space="preserve">data </w:t>
      </w:r>
      <w:r w:rsidR="005A3DF2" w:rsidRPr="00F61CC9">
        <w:rPr>
          <w:sz w:val="20"/>
          <w:szCs w:val="20"/>
        </w:rPr>
        <w:t xml:space="preserve">files. </w:t>
      </w:r>
      <w:r w:rsidR="002A777C">
        <w:rPr>
          <w:sz w:val="20"/>
          <w:szCs w:val="20"/>
        </w:rPr>
        <w:t xml:space="preserve">Dramatic, costly breaches underscored the risks. </w:t>
      </w:r>
      <w:r w:rsidR="005A3DF2" w:rsidRPr="00F61CC9">
        <w:rPr>
          <w:sz w:val="20"/>
          <w:szCs w:val="20"/>
        </w:rPr>
        <w:t xml:space="preserve">The report again noted </w:t>
      </w:r>
      <w:r w:rsidR="00CF3D4A" w:rsidRPr="00F61CC9">
        <w:rPr>
          <w:sz w:val="20"/>
          <w:szCs w:val="20"/>
        </w:rPr>
        <w:t xml:space="preserve">more oversight by </w:t>
      </w:r>
      <w:r w:rsidR="005A3DF2" w:rsidRPr="00F61CC9">
        <w:rPr>
          <w:sz w:val="20"/>
          <w:szCs w:val="20"/>
        </w:rPr>
        <w:t xml:space="preserve">OCTO </w:t>
      </w:r>
      <w:r w:rsidR="001027DB" w:rsidRPr="00F61CC9">
        <w:rPr>
          <w:sz w:val="20"/>
          <w:szCs w:val="20"/>
        </w:rPr>
        <w:t xml:space="preserve">was important </w:t>
      </w:r>
      <w:r w:rsidR="00CF3D4A" w:rsidRPr="00F61CC9">
        <w:rPr>
          <w:sz w:val="20"/>
          <w:szCs w:val="20"/>
        </w:rPr>
        <w:t xml:space="preserve">as a course-correction in its </w:t>
      </w:r>
      <w:r w:rsidR="005A3DF2" w:rsidRPr="00F61CC9">
        <w:rPr>
          <w:sz w:val="20"/>
          <w:szCs w:val="20"/>
        </w:rPr>
        <w:t xml:space="preserve">hands-off </w:t>
      </w:r>
      <w:r w:rsidR="00CF3D4A" w:rsidRPr="00F61CC9">
        <w:rPr>
          <w:sz w:val="20"/>
          <w:szCs w:val="20"/>
        </w:rPr>
        <w:t>approach to D.C. agencies</w:t>
      </w:r>
      <w:r w:rsidR="001027DB" w:rsidRPr="00F61CC9">
        <w:rPr>
          <w:sz w:val="20"/>
          <w:szCs w:val="20"/>
        </w:rPr>
        <w:t xml:space="preserve"> that had downplayed or ignored the issue</w:t>
      </w:r>
      <w:r w:rsidR="00CF3D4A" w:rsidRPr="00F61CC9">
        <w:rPr>
          <w:sz w:val="20"/>
          <w:szCs w:val="20"/>
        </w:rPr>
        <w:t xml:space="preserve">. </w:t>
      </w:r>
      <w:r w:rsidR="002A777C">
        <w:rPr>
          <w:sz w:val="20"/>
          <w:szCs w:val="20"/>
        </w:rPr>
        <w:t>C</w:t>
      </w:r>
      <w:r w:rsidR="001027DB" w:rsidRPr="00F61CC9">
        <w:rPr>
          <w:sz w:val="20"/>
          <w:szCs w:val="20"/>
        </w:rPr>
        <w:t>entral information security leadership and standards have evolved, but at the time t</w:t>
      </w:r>
      <w:r w:rsidR="00CF3D4A" w:rsidRPr="00F61CC9">
        <w:rPr>
          <w:sz w:val="20"/>
          <w:szCs w:val="20"/>
        </w:rPr>
        <w:t>he Auditor wrote</w:t>
      </w:r>
      <w:r w:rsidR="001027DB" w:rsidRPr="00F61CC9">
        <w:rPr>
          <w:sz w:val="20"/>
          <w:szCs w:val="20"/>
        </w:rPr>
        <w:t xml:space="preserve"> in a way that sounds like the situation with FOIA processing</w:t>
      </w:r>
      <w:r w:rsidR="00CF3D4A" w:rsidRPr="00F61CC9">
        <w:rPr>
          <w:sz w:val="20"/>
          <w:szCs w:val="20"/>
        </w:rPr>
        <w:t>: “</w:t>
      </w:r>
      <w:r w:rsidR="005A3DF2" w:rsidRPr="00F61CC9">
        <w:rPr>
          <w:rFonts w:eastAsiaTheme="minorHAnsi"/>
          <w:sz w:val="20"/>
          <w:szCs w:val="20"/>
        </w:rPr>
        <w:t>District agencies are individually responsible for</w:t>
      </w:r>
      <w:r w:rsidR="00CF3D4A" w:rsidRPr="00F61CC9">
        <w:rPr>
          <w:sz w:val="20"/>
          <w:szCs w:val="20"/>
        </w:rPr>
        <w:t xml:space="preserve"> </w:t>
      </w:r>
      <w:r w:rsidR="005A3DF2" w:rsidRPr="00F61CC9">
        <w:rPr>
          <w:rFonts w:eastAsiaTheme="minorHAnsi"/>
          <w:sz w:val="20"/>
          <w:szCs w:val="20"/>
        </w:rPr>
        <w:t>developing and implementing PII protection policies and procedures. Today OCTO does not monitor</w:t>
      </w:r>
      <w:r w:rsidR="00CF3D4A" w:rsidRPr="00F61CC9">
        <w:rPr>
          <w:sz w:val="20"/>
          <w:szCs w:val="20"/>
        </w:rPr>
        <w:t xml:space="preserve"> </w:t>
      </w:r>
      <w:r w:rsidR="005A3DF2" w:rsidRPr="00F61CC9">
        <w:rPr>
          <w:rFonts w:eastAsiaTheme="minorHAnsi"/>
          <w:sz w:val="20"/>
          <w:szCs w:val="20"/>
        </w:rPr>
        <w:t>agencies to determine if policies governing PII have been written, updated, or properly implemented</w:t>
      </w:r>
      <w:r w:rsidR="00CF3D4A" w:rsidRPr="00F61CC9">
        <w:rPr>
          <w:sz w:val="20"/>
          <w:szCs w:val="20"/>
        </w:rPr>
        <w:t>.”</w:t>
      </w:r>
      <w:r w:rsidR="001027DB" w:rsidRPr="00F61CC9">
        <w:rPr>
          <w:sz w:val="20"/>
          <w:szCs w:val="20"/>
        </w:rPr>
        <w:t xml:space="preserve"> </w:t>
      </w:r>
      <w:r w:rsidR="00F61CC9" w:rsidRPr="00F61CC9">
        <w:rPr>
          <w:sz w:val="20"/>
          <w:szCs w:val="20"/>
        </w:rPr>
        <w:t>A follow-up in 2019 found slow pace of improvement. We imagine an auditor would find t</w:t>
      </w:r>
      <w:r w:rsidR="001027DB" w:rsidRPr="00F61CC9">
        <w:rPr>
          <w:sz w:val="20"/>
          <w:szCs w:val="20"/>
        </w:rPr>
        <w:t xml:space="preserve">he same </w:t>
      </w:r>
      <w:r w:rsidR="00F61CC9" w:rsidRPr="00F61CC9">
        <w:rPr>
          <w:sz w:val="20"/>
          <w:szCs w:val="20"/>
        </w:rPr>
        <w:t xml:space="preserve">if they looked </w:t>
      </w:r>
      <w:r w:rsidR="00F61CC9">
        <w:rPr>
          <w:sz w:val="20"/>
          <w:szCs w:val="20"/>
        </w:rPr>
        <w:t xml:space="preserve">today </w:t>
      </w:r>
      <w:r w:rsidR="00F61CC9" w:rsidRPr="00F61CC9">
        <w:rPr>
          <w:sz w:val="20"/>
          <w:szCs w:val="20"/>
        </w:rPr>
        <w:t xml:space="preserve">for D.C. </w:t>
      </w:r>
      <w:r w:rsidR="001027DB" w:rsidRPr="00F61CC9">
        <w:rPr>
          <w:sz w:val="20"/>
          <w:szCs w:val="20"/>
        </w:rPr>
        <w:t xml:space="preserve">agency policies about the importance of users’ experience of electronic government. </w:t>
      </w:r>
      <w:r w:rsidR="00E9585C" w:rsidRPr="00F61CC9">
        <w:rPr>
          <w:sz w:val="20"/>
          <w:szCs w:val="20"/>
        </w:rPr>
        <w:t xml:space="preserve">Office of the </w:t>
      </w:r>
      <w:r w:rsidR="001027DB" w:rsidRPr="00F61CC9">
        <w:rPr>
          <w:sz w:val="20"/>
          <w:szCs w:val="20"/>
        </w:rPr>
        <w:t xml:space="preserve">D.C. Auditor, </w:t>
      </w:r>
      <w:r w:rsidR="00E9585C" w:rsidRPr="00F61CC9">
        <w:rPr>
          <w:rFonts w:eastAsiaTheme="minorHAnsi"/>
          <w:i/>
          <w:iCs/>
          <w:sz w:val="20"/>
          <w:szCs w:val="20"/>
        </w:rPr>
        <w:t>The D.C. Government Must Improve Policies and Practices for the Protection of Personally Identifiable Information</w:t>
      </w:r>
      <w:r w:rsidR="00E9585C" w:rsidRPr="00F61CC9">
        <w:rPr>
          <w:i/>
          <w:iCs/>
          <w:sz w:val="20"/>
          <w:szCs w:val="20"/>
        </w:rPr>
        <w:t xml:space="preserve"> </w:t>
      </w:r>
      <w:r w:rsidR="00E9585C" w:rsidRPr="00F61CC9">
        <w:rPr>
          <w:sz w:val="20"/>
          <w:szCs w:val="20"/>
        </w:rPr>
        <w:t>(</w:t>
      </w:r>
      <w:r w:rsidR="00E9585C" w:rsidRPr="00F61CC9">
        <w:rPr>
          <w:rFonts w:eastAsiaTheme="minorHAnsi"/>
          <w:sz w:val="20"/>
          <w:szCs w:val="20"/>
        </w:rPr>
        <w:t>January 6, 2017</w:t>
      </w:r>
      <w:r w:rsidR="00E9585C" w:rsidRPr="00F61CC9">
        <w:rPr>
          <w:sz w:val="20"/>
          <w:szCs w:val="20"/>
        </w:rPr>
        <w:t>).</w:t>
      </w:r>
      <w:r w:rsidR="00F61CC9" w:rsidRPr="00F61CC9">
        <w:rPr>
          <w:sz w:val="20"/>
          <w:szCs w:val="20"/>
        </w:rPr>
        <w:t xml:space="preserve"> </w:t>
      </w:r>
      <w:r w:rsidR="00673F93" w:rsidRPr="00F61CC9">
        <w:rPr>
          <w:sz w:val="20"/>
          <w:szCs w:val="20"/>
        </w:rPr>
        <w:t>Also,</w:t>
      </w:r>
      <w:r w:rsidR="00F61CC9" w:rsidRPr="00F61CC9">
        <w:rPr>
          <w:sz w:val="20"/>
          <w:szCs w:val="20"/>
        </w:rPr>
        <w:t xml:space="preserve"> </w:t>
      </w:r>
      <w:r w:rsidR="00F61CC9" w:rsidRPr="00F61CC9">
        <w:rPr>
          <w:rStyle w:val="markedcontent"/>
          <w:rFonts w:eastAsiaTheme="majorEastAsia"/>
          <w:i/>
          <w:iCs/>
          <w:sz w:val="20"/>
          <w:szCs w:val="20"/>
        </w:rPr>
        <w:t>Some Progress Made But More Improvement Needed</w:t>
      </w:r>
      <w:r w:rsidR="00F61CC9" w:rsidRPr="00F61CC9">
        <w:rPr>
          <w:rStyle w:val="markedcontent"/>
          <w:rFonts w:eastAsiaTheme="majorEastAsia"/>
          <w:i/>
          <w:iCs/>
          <w:sz w:val="20"/>
          <w:szCs w:val="20"/>
        </w:rPr>
        <w:t xml:space="preserve"> </w:t>
      </w:r>
      <w:r w:rsidR="00F61CC9" w:rsidRPr="00F61CC9">
        <w:rPr>
          <w:rStyle w:val="markedcontent"/>
          <w:rFonts w:eastAsiaTheme="majorEastAsia"/>
          <w:i/>
          <w:iCs/>
          <w:sz w:val="20"/>
          <w:szCs w:val="20"/>
        </w:rPr>
        <w:t>In Management of Personally Identifiable Informatio</w:t>
      </w:r>
      <w:r w:rsidR="00F61CC9" w:rsidRPr="00F61CC9">
        <w:rPr>
          <w:rStyle w:val="markedcontent"/>
          <w:rFonts w:eastAsiaTheme="majorEastAsia"/>
          <w:i/>
          <w:iCs/>
          <w:sz w:val="20"/>
          <w:szCs w:val="20"/>
        </w:rPr>
        <w:t xml:space="preserve">n </w:t>
      </w:r>
      <w:r w:rsidR="00F61CC9" w:rsidRPr="00F61CC9">
        <w:rPr>
          <w:rStyle w:val="markedcontent"/>
          <w:rFonts w:eastAsiaTheme="majorEastAsia"/>
          <w:sz w:val="20"/>
          <w:szCs w:val="20"/>
        </w:rPr>
        <w:t>(July 1, 2019).</w:t>
      </w:r>
    </w:p>
    <w:p w14:paraId="675E5188" w14:textId="5512034E" w:rsidR="00E9585C" w:rsidRPr="00F61CC9" w:rsidRDefault="00E9585C" w:rsidP="00E9585C">
      <w:pPr>
        <w:pStyle w:val="FootnoteText"/>
        <w:rPr>
          <w:rFonts w:ascii="Times New Roman" w:hAnsi="Times New Roman" w:cs="Times New Roman"/>
        </w:rPr>
      </w:pPr>
    </w:p>
    <w:p w14:paraId="77E2D6EC" w14:textId="286AC2C6" w:rsidR="005A3DF2" w:rsidRPr="00CF3D4A" w:rsidRDefault="005A3DF2" w:rsidP="005A3DF2">
      <w:pPr>
        <w:pStyle w:val="FootnoteText"/>
        <w:rPr>
          <w:rFonts w:ascii="Times New Roman" w:hAnsi="Times New Roman" w:cs="Times New Roman"/>
        </w:rPr>
      </w:pPr>
    </w:p>
    <w:p w14:paraId="6A83EA43" w14:textId="545C11E5" w:rsidR="00CD20D1" w:rsidRPr="00CD20D1" w:rsidRDefault="00CD20D1" w:rsidP="00CD20D1">
      <w:pPr>
        <w:pStyle w:val="FootnoteText"/>
      </w:pPr>
    </w:p>
    <w:p w14:paraId="76359734" w14:textId="61BEFF0E" w:rsidR="00CD20D1" w:rsidRPr="00CD20D1" w:rsidRDefault="00CD20D1">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FB0"/>
    <w:multiLevelType w:val="hybridMultilevel"/>
    <w:tmpl w:val="CB283B50"/>
    <w:lvl w:ilvl="0" w:tplc="8A6A7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39B4"/>
    <w:multiLevelType w:val="hybridMultilevel"/>
    <w:tmpl w:val="C1E0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13E0CCF"/>
    <w:multiLevelType w:val="multilevel"/>
    <w:tmpl w:val="290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20F33"/>
    <w:multiLevelType w:val="hybridMultilevel"/>
    <w:tmpl w:val="08CE0E32"/>
    <w:lvl w:ilvl="0" w:tplc="D2081D1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4DA3E01"/>
    <w:multiLevelType w:val="hybridMultilevel"/>
    <w:tmpl w:val="E85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FA1"/>
    <w:multiLevelType w:val="hybridMultilevel"/>
    <w:tmpl w:val="5C92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624033">
    <w:abstractNumId w:val="9"/>
  </w:num>
  <w:num w:numId="2" w16cid:durableId="1295138112">
    <w:abstractNumId w:val="12"/>
  </w:num>
  <w:num w:numId="3" w16cid:durableId="2033652372">
    <w:abstractNumId w:val="2"/>
  </w:num>
  <w:num w:numId="4" w16cid:durableId="2121339727">
    <w:abstractNumId w:val="6"/>
  </w:num>
  <w:num w:numId="5" w16cid:durableId="1709648256">
    <w:abstractNumId w:val="10"/>
  </w:num>
  <w:num w:numId="6" w16cid:durableId="1320425761">
    <w:abstractNumId w:val="18"/>
  </w:num>
  <w:num w:numId="7" w16cid:durableId="1615089663">
    <w:abstractNumId w:val="15"/>
  </w:num>
  <w:num w:numId="8" w16cid:durableId="463431189">
    <w:abstractNumId w:val="8"/>
  </w:num>
  <w:num w:numId="9" w16cid:durableId="936522434">
    <w:abstractNumId w:val="17"/>
  </w:num>
  <w:num w:numId="10" w16cid:durableId="1258368196">
    <w:abstractNumId w:val="7"/>
  </w:num>
  <w:num w:numId="11" w16cid:durableId="1925138598">
    <w:abstractNumId w:val="11"/>
  </w:num>
  <w:num w:numId="12" w16cid:durableId="686906693">
    <w:abstractNumId w:val="21"/>
  </w:num>
  <w:num w:numId="13" w16cid:durableId="2069379394">
    <w:abstractNumId w:val="22"/>
  </w:num>
  <w:num w:numId="14" w16cid:durableId="1114598758">
    <w:abstractNumId w:val="3"/>
  </w:num>
  <w:num w:numId="15" w16cid:durableId="939948418">
    <w:abstractNumId w:val="13"/>
  </w:num>
  <w:num w:numId="16" w16cid:durableId="973799486">
    <w:abstractNumId w:val="14"/>
  </w:num>
  <w:num w:numId="17" w16cid:durableId="489711617">
    <w:abstractNumId w:val="4"/>
  </w:num>
  <w:num w:numId="18" w16cid:durableId="332925333">
    <w:abstractNumId w:val="23"/>
  </w:num>
  <w:num w:numId="19" w16cid:durableId="308822686">
    <w:abstractNumId w:val="19"/>
  </w:num>
  <w:num w:numId="20" w16cid:durableId="1562713565">
    <w:abstractNumId w:val="0"/>
  </w:num>
  <w:num w:numId="21" w16cid:durableId="844978369">
    <w:abstractNumId w:val="5"/>
  </w:num>
  <w:num w:numId="22" w16cid:durableId="690566047">
    <w:abstractNumId w:val="1"/>
  </w:num>
  <w:num w:numId="23" w16cid:durableId="1711418323">
    <w:abstractNumId w:val="16"/>
  </w:num>
  <w:num w:numId="24" w16cid:durableId="20955846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02294"/>
    <w:rsid w:val="00040D4C"/>
    <w:rsid w:val="00052E56"/>
    <w:rsid w:val="00057208"/>
    <w:rsid w:val="000629F7"/>
    <w:rsid w:val="0007361B"/>
    <w:rsid w:val="000760BA"/>
    <w:rsid w:val="000942CE"/>
    <w:rsid w:val="00094A2F"/>
    <w:rsid w:val="00095702"/>
    <w:rsid w:val="000A0107"/>
    <w:rsid w:val="000A0A42"/>
    <w:rsid w:val="000A222A"/>
    <w:rsid w:val="000D2406"/>
    <w:rsid w:val="000D2888"/>
    <w:rsid w:val="000D790F"/>
    <w:rsid w:val="000D7A48"/>
    <w:rsid w:val="000F54F6"/>
    <w:rsid w:val="001027DB"/>
    <w:rsid w:val="00106246"/>
    <w:rsid w:val="00110A2F"/>
    <w:rsid w:val="00114A40"/>
    <w:rsid w:val="001272D7"/>
    <w:rsid w:val="001449A1"/>
    <w:rsid w:val="001526B0"/>
    <w:rsid w:val="00154F8E"/>
    <w:rsid w:val="0015584D"/>
    <w:rsid w:val="00161B0A"/>
    <w:rsid w:val="0017015B"/>
    <w:rsid w:val="00170C4A"/>
    <w:rsid w:val="00171553"/>
    <w:rsid w:val="00177B2F"/>
    <w:rsid w:val="001800B6"/>
    <w:rsid w:val="001804A9"/>
    <w:rsid w:val="00184183"/>
    <w:rsid w:val="00184F79"/>
    <w:rsid w:val="001A3D13"/>
    <w:rsid w:val="001A4B84"/>
    <w:rsid w:val="001A70CB"/>
    <w:rsid w:val="001B2FE5"/>
    <w:rsid w:val="001B30E3"/>
    <w:rsid w:val="001C27F4"/>
    <w:rsid w:val="001D566A"/>
    <w:rsid w:val="001D75E4"/>
    <w:rsid w:val="001E007C"/>
    <w:rsid w:val="001F53AD"/>
    <w:rsid w:val="001F5E37"/>
    <w:rsid w:val="00203E61"/>
    <w:rsid w:val="00206079"/>
    <w:rsid w:val="00207E93"/>
    <w:rsid w:val="00207EF0"/>
    <w:rsid w:val="0021439B"/>
    <w:rsid w:val="0023118D"/>
    <w:rsid w:val="00233C9E"/>
    <w:rsid w:val="002355BB"/>
    <w:rsid w:val="00250B62"/>
    <w:rsid w:val="00252C04"/>
    <w:rsid w:val="00256365"/>
    <w:rsid w:val="00260528"/>
    <w:rsid w:val="002703BD"/>
    <w:rsid w:val="00277C82"/>
    <w:rsid w:val="0028678F"/>
    <w:rsid w:val="00290F27"/>
    <w:rsid w:val="00292AC6"/>
    <w:rsid w:val="00292DA2"/>
    <w:rsid w:val="002A0172"/>
    <w:rsid w:val="002A777C"/>
    <w:rsid w:val="002B25D1"/>
    <w:rsid w:val="002B66F2"/>
    <w:rsid w:val="002B68D4"/>
    <w:rsid w:val="002C16F4"/>
    <w:rsid w:val="00304B9C"/>
    <w:rsid w:val="00313704"/>
    <w:rsid w:val="0031559F"/>
    <w:rsid w:val="00333001"/>
    <w:rsid w:val="00341420"/>
    <w:rsid w:val="00341A40"/>
    <w:rsid w:val="00345C05"/>
    <w:rsid w:val="00352937"/>
    <w:rsid w:val="00357544"/>
    <w:rsid w:val="003640A4"/>
    <w:rsid w:val="00373AA6"/>
    <w:rsid w:val="00381F8D"/>
    <w:rsid w:val="00385EBB"/>
    <w:rsid w:val="00394B0F"/>
    <w:rsid w:val="003B01EA"/>
    <w:rsid w:val="003B59F8"/>
    <w:rsid w:val="003C145B"/>
    <w:rsid w:val="003C6545"/>
    <w:rsid w:val="003D0DD1"/>
    <w:rsid w:val="003D594E"/>
    <w:rsid w:val="003D65AF"/>
    <w:rsid w:val="003E07F1"/>
    <w:rsid w:val="003E3A4E"/>
    <w:rsid w:val="003F144E"/>
    <w:rsid w:val="003F6BCC"/>
    <w:rsid w:val="003F7289"/>
    <w:rsid w:val="00403212"/>
    <w:rsid w:val="0042486B"/>
    <w:rsid w:val="004532A8"/>
    <w:rsid w:val="004608B7"/>
    <w:rsid w:val="00460D35"/>
    <w:rsid w:val="00461981"/>
    <w:rsid w:val="004638E7"/>
    <w:rsid w:val="004714EA"/>
    <w:rsid w:val="00472999"/>
    <w:rsid w:val="00473181"/>
    <w:rsid w:val="0047483D"/>
    <w:rsid w:val="0048463E"/>
    <w:rsid w:val="00496446"/>
    <w:rsid w:val="004A5141"/>
    <w:rsid w:val="004A70AC"/>
    <w:rsid w:val="004B53A1"/>
    <w:rsid w:val="004C170A"/>
    <w:rsid w:val="004C18F2"/>
    <w:rsid w:val="004C3BEC"/>
    <w:rsid w:val="004D0E53"/>
    <w:rsid w:val="004D29F4"/>
    <w:rsid w:val="004D6F80"/>
    <w:rsid w:val="004F62AA"/>
    <w:rsid w:val="00501FF3"/>
    <w:rsid w:val="00520C1E"/>
    <w:rsid w:val="005312D3"/>
    <w:rsid w:val="005377C2"/>
    <w:rsid w:val="005401DB"/>
    <w:rsid w:val="00550E11"/>
    <w:rsid w:val="00554801"/>
    <w:rsid w:val="005769C9"/>
    <w:rsid w:val="00576B0B"/>
    <w:rsid w:val="0058655C"/>
    <w:rsid w:val="00591700"/>
    <w:rsid w:val="005A3DF2"/>
    <w:rsid w:val="005A61DC"/>
    <w:rsid w:val="005A7530"/>
    <w:rsid w:val="005A7B21"/>
    <w:rsid w:val="005B003B"/>
    <w:rsid w:val="005B35E8"/>
    <w:rsid w:val="005C4949"/>
    <w:rsid w:val="005C77A6"/>
    <w:rsid w:val="005E6CF3"/>
    <w:rsid w:val="00606017"/>
    <w:rsid w:val="00607B06"/>
    <w:rsid w:val="00610528"/>
    <w:rsid w:val="00612BB5"/>
    <w:rsid w:val="0062052E"/>
    <w:rsid w:val="006216AD"/>
    <w:rsid w:val="0062175B"/>
    <w:rsid w:val="00627719"/>
    <w:rsid w:val="00632B98"/>
    <w:rsid w:val="0064178A"/>
    <w:rsid w:val="00646A1A"/>
    <w:rsid w:val="00663B00"/>
    <w:rsid w:val="00663EC1"/>
    <w:rsid w:val="006669AC"/>
    <w:rsid w:val="00673221"/>
    <w:rsid w:val="00673F93"/>
    <w:rsid w:val="00674F8C"/>
    <w:rsid w:val="00675D36"/>
    <w:rsid w:val="006864A6"/>
    <w:rsid w:val="00697303"/>
    <w:rsid w:val="006A198A"/>
    <w:rsid w:val="006A1ED6"/>
    <w:rsid w:val="006A25FF"/>
    <w:rsid w:val="006C0339"/>
    <w:rsid w:val="006C5F1F"/>
    <w:rsid w:val="006D4E61"/>
    <w:rsid w:val="006E4456"/>
    <w:rsid w:val="006E7815"/>
    <w:rsid w:val="006F0A13"/>
    <w:rsid w:val="006F2505"/>
    <w:rsid w:val="0070091B"/>
    <w:rsid w:val="0071550B"/>
    <w:rsid w:val="00716EF0"/>
    <w:rsid w:val="00723C91"/>
    <w:rsid w:val="00732084"/>
    <w:rsid w:val="00734823"/>
    <w:rsid w:val="00742803"/>
    <w:rsid w:val="00746C4A"/>
    <w:rsid w:val="007472FC"/>
    <w:rsid w:val="00753703"/>
    <w:rsid w:val="00767BAF"/>
    <w:rsid w:val="007713D9"/>
    <w:rsid w:val="0077427C"/>
    <w:rsid w:val="00787DD8"/>
    <w:rsid w:val="007919B3"/>
    <w:rsid w:val="00796623"/>
    <w:rsid w:val="007A28F9"/>
    <w:rsid w:val="007A5E2C"/>
    <w:rsid w:val="007A6F6D"/>
    <w:rsid w:val="007B24FC"/>
    <w:rsid w:val="007C3794"/>
    <w:rsid w:val="007D631D"/>
    <w:rsid w:val="007E7D81"/>
    <w:rsid w:val="007F0E0E"/>
    <w:rsid w:val="0080646B"/>
    <w:rsid w:val="00813D58"/>
    <w:rsid w:val="0083387C"/>
    <w:rsid w:val="008378D5"/>
    <w:rsid w:val="00866AED"/>
    <w:rsid w:val="008675F8"/>
    <w:rsid w:val="00867EF6"/>
    <w:rsid w:val="008821B4"/>
    <w:rsid w:val="0088539D"/>
    <w:rsid w:val="00891C6C"/>
    <w:rsid w:val="00896285"/>
    <w:rsid w:val="008A3F4F"/>
    <w:rsid w:val="008A44C7"/>
    <w:rsid w:val="008A759A"/>
    <w:rsid w:val="008B0762"/>
    <w:rsid w:val="008B4394"/>
    <w:rsid w:val="008C66B4"/>
    <w:rsid w:val="008C6877"/>
    <w:rsid w:val="008E3DAD"/>
    <w:rsid w:val="008F75A2"/>
    <w:rsid w:val="00901F10"/>
    <w:rsid w:val="0090211A"/>
    <w:rsid w:val="00915E8E"/>
    <w:rsid w:val="0092174E"/>
    <w:rsid w:val="00921A0A"/>
    <w:rsid w:val="0093051B"/>
    <w:rsid w:val="0093073B"/>
    <w:rsid w:val="00932A68"/>
    <w:rsid w:val="00932DC9"/>
    <w:rsid w:val="00935B22"/>
    <w:rsid w:val="00943CF6"/>
    <w:rsid w:val="009468E6"/>
    <w:rsid w:val="00962065"/>
    <w:rsid w:val="0097177D"/>
    <w:rsid w:val="00976E02"/>
    <w:rsid w:val="00992A1D"/>
    <w:rsid w:val="009A798D"/>
    <w:rsid w:val="009B52D2"/>
    <w:rsid w:val="009C395B"/>
    <w:rsid w:val="009C5215"/>
    <w:rsid w:val="009D0D43"/>
    <w:rsid w:val="009D6435"/>
    <w:rsid w:val="009E5E66"/>
    <w:rsid w:val="009E786F"/>
    <w:rsid w:val="009F0EC8"/>
    <w:rsid w:val="009F74B3"/>
    <w:rsid w:val="00A03ADD"/>
    <w:rsid w:val="00A06A7B"/>
    <w:rsid w:val="00A110FB"/>
    <w:rsid w:val="00A13F65"/>
    <w:rsid w:val="00A2711F"/>
    <w:rsid w:val="00A42A3D"/>
    <w:rsid w:val="00A4467B"/>
    <w:rsid w:val="00A4784C"/>
    <w:rsid w:val="00A52149"/>
    <w:rsid w:val="00A57EB2"/>
    <w:rsid w:val="00A60771"/>
    <w:rsid w:val="00A62BAE"/>
    <w:rsid w:val="00A649F2"/>
    <w:rsid w:val="00A77C2F"/>
    <w:rsid w:val="00A81AD0"/>
    <w:rsid w:val="00A831BA"/>
    <w:rsid w:val="00A85A88"/>
    <w:rsid w:val="00AA0E1B"/>
    <w:rsid w:val="00AA2CD9"/>
    <w:rsid w:val="00AA43C1"/>
    <w:rsid w:val="00AA5D94"/>
    <w:rsid w:val="00AA7DD0"/>
    <w:rsid w:val="00AB367F"/>
    <w:rsid w:val="00AB4003"/>
    <w:rsid w:val="00AB6632"/>
    <w:rsid w:val="00AC3F85"/>
    <w:rsid w:val="00AD214B"/>
    <w:rsid w:val="00AD3B18"/>
    <w:rsid w:val="00AD4506"/>
    <w:rsid w:val="00B03097"/>
    <w:rsid w:val="00B10B77"/>
    <w:rsid w:val="00B123D9"/>
    <w:rsid w:val="00B25BE4"/>
    <w:rsid w:val="00B316FE"/>
    <w:rsid w:val="00B32A22"/>
    <w:rsid w:val="00B34153"/>
    <w:rsid w:val="00B34D5F"/>
    <w:rsid w:val="00B37BAE"/>
    <w:rsid w:val="00B44145"/>
    <w:rsid w:val="00B63187"/>
    <w:rsid w:val="00B67233"/>
    <w:rsid w:val="00B72505"/>
    <w:rsid w:val="00B7688C"/>
    <w:rsid w:val="00B80031"/>
    <w:rsid w:val="00B97F57"/>
    <w:rsid w:val="00BA025E"/>
    <w:rsid w:val="00BA2EBD"/>
    <w:rsid w:val="00BB07B6"/>
    <w:rsid w:val="00BB6FA0"/>
    <w:rsid w:val="00BC4C35"/>
    <w:rsid w:val="00BD03B9"/>
    <w:rsid w:val="00BD098B"/>
    <w:rsid w:val="00BD2AED"/>
    <w:rsid w:val="00BD5AC0"/>
    <w:rsid w:val="00BD74B3"/>
    <w:rsid w:val="00BE7AA0"/>
    <w:rsid w:val="00BF21A0"/>
    <w:rsid w:val="00BF787F"/>
    <w:rsid w:val="00C013F1"/>
    <w:rsid w:val="00C048C5"/>
    <w:rsid w:val="00C219D0"/>
    <w:rsid w:val="00C319A6"/>
    <w:rsid w:val="00C348BF"/>
    <w:rsid w:val="00C36FC7"/>
    <w:rsid w:val="00C63554"/>
    <w:rsid w:val="00C6413B"/>
    <w:rsid w:val="00C73904"/>
    <w:rsid w:val="00C74C6B"/>
    <w:rsid w:val="00C82E4E"/>
    <w:rsid w:val="00C92B10"/>
    <w:rsid w:val="00C93581"/>
    <w:rsid w:val="00C97DA0"/>
    <w:rsid w:val="00CA0450"/>
    <w:rsid w:val="00CA5767"/>
    <w:rsid w:val="00CA70FD"/>
    <w:rsid w:val="00CB2AA5"/>
    <w:rsid w:val="00CB4DD1"/>
    <w:rsid w:val="00CC475F"/>
    <w:rsid w:val="00CC532E"/>
    <w:rsid w:val="00CD0156"/>
    <w:rsid w:val="00CD20D1"/>
    <w:rsid w:val="00CD63E2"/>
    <w:rsid w:val="00CE4371"/>
    <w:rsid w:val="00CF3412"/>
    <w:rsid w:val="00CF3D4A"/>
    <w:rsid w:val="00D034A9"/>
    <w:rsid w:val="00D05883"/>
    <w:rsid w:val="00D121D6"/>
    <w:rsid w:val="00D1710A"/>
    <w:rsid w:val="00D22425"/>
    <w:rsid w:val="00D30481"/>
    <w:rsid w:val="00D37281"/>
    <w:rsid w:val="00D4433F"/>
    <w:rsid w:val="00D44CF8"/>
    <w:rsid w:val="00D62B52"/>
    <w:rsid w:val="00D67AC0"/>
    <w:rsid w:val="00D721D2"/>
    <w:rsid w:val="00D74C78"/>
    <w:rsid w:val="00D74EEF"/>
    <w:rsid w:val="00D756C2"/>
    <w:rsid w:val="00D77287"/>
    <w:rsid w:val="00D92F82"/>
    <w:rsid w:val="00DA68FD"/>
    <w:rsid w:val="00DB2284"/>
    <w:rsid w:val="00DC0B94"/>
    <w:rsid w:val="00DE125D"/>
    <w:rsid w:val="00DE58FE"/>
    <w:rsid w:val="00DF48C6"/>
    <w:rsid w:val="00DF513A"/>
    <w:rsid w:val="00DF5E5E"/>
    <w:rsid w:val="00E062A6"/>
    <w:rsid w:val="00E12AB0"/>
    <w:rsid w:val="00E16A0E"/>
    <w:rsid w:val="00E2053F"/>
    <w:rsid w:val="00E36604"/>
    <w:rsid w:val="00E44C05"/>
    <w:rsid w:val="00E55026"/>
    <w:rsid w:val="00E6658B"/>
    <w:rsid w:val="00E80D8B"/>
    <w:rsid w:val="00E87694"/>
    <w:rsid w:val="00E87E31"/>
    <w:rsid w:val="00E91D86"/>
    <w:rsid w:val="00E921E6"/>
    <w:rsid w:val="00E92A1F"/>
    <w:rsid w:val="00E9585C"/>
    <w:rsid w:val="00EA65A4"/>
    <w:rsid w:val="00EB52EA"/>
    <w:rsid w:val="00EC209D"/>
    <w:rsid w:val="00EC6B1C"/>
    <w:rsid w:val="00ED0A89"/>
    <w:rsid w:val="00ED6686"/>
    <w:rsid w:val="00ED694F"/>
    <w:rsid w:val="00ED715A"/>
    <w:rsid w:val="00EE4937"/>
    <w:rsid w:val="00EF2857"/>
    <w:rsid w:val="00EF786C"/>
    <w:rsid w:val="00F0022D"/>
    <w:rsid w:val="00F227C4"/>
    <w:rsid w:val="00F436EE"/>
    <w:rsid w:val="00F53351"/>
    <w:rsid w:val="00F53ED4"/>
    <w:rsid w:val="00F5638C"/>
    <w:rsid w:val="00F61CC9"/>
    <w:rsid w:val="00F7724B"/>
    <w:rsid w:val="00F83A11"/>
    <w:rsid w:val="00F84D05"/>
    <w:rsid w:val="00F91353"/>
    <w:rsid w:val="00FA454C"/>
    <w:rsid w:val="00FA55D1"/>
    <w:rsid w:val="00FA5783"/>
    <w:rsid w:val="00FA6A31"/>
    <w:rsid w:val="00FC3FF1"/>
    <w:rsid w:val="00FD1691"/>
    <w:rsid w:val="00FD71EE"/>
    <w:rsid w:val="00FE03D4"/>
    <w:rsid w:val="00FE08DA"/>
    <w:rsid w:val="00FE1891"/>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D1"/>
    <w:rPr>
      <w:rFonts w:ascii="Times New Roman" w:eastAsia="Times New Roman" w:hAnsi="Times New Roman" w:cs="Times New Roman"/>
    </w:rPr>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hAnsi="Arial"/>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sz w:val="20"/>
      <w:szCs w:val="20"/>
    </w:rPr>
  </w:style>
  <w:style w:type="character" w:styleId="Strong">
    <w:name w:val="Strong"/>
    <w:basedOn w:val="DefaultParagraphFont"/>
    <w:uiPriority w:val="22"/>
    <w:qFormat/>
    <w:rsid w:val="00D756C2"/>
    <w:rPr>
      <w:b/>
    </w:rPr>
  </w:style>
  <w:style w:type="character" w:styleId="HTMLCite">
    <w:name w:val="HTML Cite"/>
    <w:basedOn w:val="DefaultParagraphFont"/>
    <w:uiPriority w:val="99"/>
    <w:semiHidden/>
    <w:unhideWhenUsed/>
    <w:rsid w:val="00FA55D1"/>
    <w:rPr>
      <w:i/>
      <w:iCs/>
    </w:rPr>
  </w:style>
  <w:style w:type="character" w:styleId="Emphasis">
    <w:name w:val="Emphasis"/>
    <w:basedOn w:val="DefaultParagraphFont"/>
    <w:uiPriority w:val="20"/>
    <w:qFormat/>
    <w:rsid w:val="00FA55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4719836">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93747459">
      <w:bodyDiv w:val="1"/>
      <w:marLeft w:val="0"/>
      <w:marRight w:val="0"/>
      <w:marTop w:val="0"/>
      <w:marBottom w:val="0"/>
      <w:divBdr>
        <w:top w:val="none" w:sz="0" w:space="0" w:color="auto"/>
        <w:left w:val="none" w:sz="0" w:space="0" w:color="auto"/>
        <w:bottom w:val="none" w:sz="0" w:space="0" w:color="auto"/>
        <w:right w:val="none" w:sz="0" w:space="0" w:color="auto"/>
      </w:divBdr>
    </w:div>
    <w:div w:id="129910634">
      <w:bodyDiv w:val="1"/>
      <w:marLeft w:val="0"/>
      <w:marRight w:val="0"/>
      <w:marTop w:val="0"/>
      <w:marBottom w:val="0"/>
      <w:divBdr>
        <w:top w:val="none" w:sz="0" w:space="0" w:color="auto"/>
        <w:left w:val="none" w:sz="0" w:space="0" w:color="auto"/>
        <w:bottom w:val="none" w:sz="0" w:space="0" w:color="auto"/>
        <w:right w:val="none" w:sz="0" w:space="0" w:color="auto"/>
      </w:divBdr>
    </w:div>
    <w:div w:id="152455935">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170488991">
      <w:bodyDiv w:val="1"/>
      <w:marLeft w:val="0"/>
      <w:marRight w:val="0"/>
      <w:marTop w:val="0"/>
      <w:marBottom w:val="0"/>
      <w:divBdr>
        <w:top w:val="none" w:sz="0" w:space="0" w:color="auto"/>
        <w:left w:val="none" w:sz="0" w:space="0" w:color="auto"/>
        <w:bottom w:val="none" w:sz="0" w:space="0" w:color="auto"/>
        <w:right w:val="none" w:sz="0" w:space="0" w:color="auto"/>
      </w:divBdr>
    </w:div>
    <w:div w:id="202518748">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37371541">
      <w:bodyDiv w:val="1"/>
      <w:marLeft w:val="0"/>
      <w:marRight w:val="0"/>
      <w:marTop w:val="0"/>
      <w:marBottom w:val="0"/>
      <w:divBdr>
        <w:top w:val="none" w:sz="0" w:space="0" w:color="auto"/>
        <w:left w:val="none" w:sz="0" w:space="0" w:color="auto"/>
        <w:bottom w:val="none" w:sz="0" w:space="0" w:color="auto"/>
        <w:right w:val="none" w:sz="0" w:space="0" w:color="auto"/>
      </w:divBdr>
    </w:div>
    <w:div w:id="288903670">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33385905">
      <w:bodyDiv w:val="1"/>
      <w:marLeft w:val="0"/>
      <w:marRight w:val="0"/>
      <w:marTop w:val="0"/>
      <w:marBottom w:val="0"/>
      <w:divBdr>
        <w:top w:val="none" w:sz="0" w:space="0" w:color="auto"/>
        <w:left w:val="none" w:sz="0" w:space="0" w:color="auto"/>
        <w:bottom w:val="none" w:sz="0" w:space="0" w:color="auto"/>
        <w:right w:val="none" w:sz="0" w:space="0" w:color="auto"/>
      </w:divBdr>
    </w:div>
    <w:div w:id="363100467">
      <w:bodyDiv w:val="1"/>
      <w:marLeft w:val="0"/>
      <w:marRight w:val="0"/>
      <w:marTop w:val="0"/>
      <w:marBottom w:val="0"/>
      <w:divBdr>
        <w:top w:val="none" w:sz="0" w:space="0" w:color="auto"/>
        <w:left w:val="none" w:sz="0" w:space="0" w:color="auto"/>
        <w:bottom w:val="none" w:sz="0" w:space="0" w:color="auto"/>
        <w:right w:val="none" w:sz="0" w:space="0" w:color="auto"/>
      </w:divBdr>
      <w:divsChild>
        <w:div w:id="66894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398215509">
      <w:bodyDiv w:val="1"/>
      <w:marLeft w:val="0"/>
      <w:marRight w:val="0"/>
      <w:marTop w:val="0"/>
      <w:marBottom w:val="0"/>
      <w:divBdr>
        <w:top w:val="none" w:sz="0" w:space="0" w:color="auto"/>
        <w:left w:val="none" w:sz="0" w:space="0" w:color="auto"/>
        <w:bottom w:val="none" w:sz="0" w:space="0" w:color="auto"/>
        <w:right w:val="none" w:sz="0" w:space="0" w:color="auto"/>
      </w:divBdr>
    </w:div>
    <w:div w:id="398405800">
      <w:bodyDiv w:val="1"/>
      <w:marLeft w:val="0"/>
      <w:marRight w:val="0"/>
      <w:marTop w:val="0"/>
      <w:marBottom w:val="0"/>
      <w:divBdr>
        <w:top w:val="none" w:sz="0" w:space="0" w:color="auto"/>
        <w:left w:val="none" w:sz="0" w:space="0" w:color="auto"/>
        <w:bottom w:val="none" w:sz="0" w:space="0" w:color="auto"/>
        <w:right w:val="none" w:sz="0" w:space="0" w:color="auto"/>
      </w:divBdr>
    </w:div>
    <w:div w:id="486171748">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39120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561451656">
      <w:bodyDiv w:val="1"/>
      <w:marLeft w:val="0"/>
      <w:marRight w:val="0"/>
      <w:marTop w:val="0"/>
      <w:marBottom w:val="0"/>
      <w:divBdr>
        <w:top w:val="none" w:sz="0" w:space="0" w:color="auto"/>
        <w:left w:val="none" w:sz="0" w:space="0" w:color="auto"/>
        <w:bottom w:val="none" w:sz="0" w:space="0" w:color="auto"/>
        <w:right w:val="none" w:sz="0" w:space="0" w:color="auto"/>
      </w:divBdr>
      <w:divsChild>
        <w:div w:id="1063333392">
          <w:marLeft w:val="0"/>
          <w:marRight w:val="0"/>
          <w:marTop w:val="0"/>
          <w:marBottom w:val="0"/>
          <w:divBdr>
            <w:top w:val="none" w:sz="0" w:space="0" w:color="auto"/>
            <w:left w:val="none" w:sz="0" w:space="0" w:color="auto"/>
            <w:bottom w:val="none" w:sz="0" w:space="0" w:color="auto"/>
            <w:right w:val="none" w:sz="0" w:space="0" w:color="auto"/>
          </w:divBdr>
        </w:div>
      </w:divsChild>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69390759">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36038618">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63509271">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1123834">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870101136">
      <w:bodyDiv w:val="1"/>
      <w:marLeft w:val="0"/>
      <w:marRight w:val="0"/>
      <w:marTop w:val="0"/>
      <w:marBottom w:val="0"/>
      <w:divBdr>
        <w:top w:val="none" w:sz="0" w:space="0" w:color="auto"/>
        <w:left w:val="none" w:sz="0" w:space="0" w:color="auto"/>
        <w:bottom w:val="none" w:sz="0" w:space="0" w:color="auto"/>
        <w:right w:val="none" w:sz="0" w:space="0" w:color="auto"/>
      </w:divBdr>
    </w:div>
    <w:div w:id="1882015243">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51235638">
      <w:bodyDiv w:val="1"/>
      <w:marLeft w:val="0"/>
      <w:marRight w:val="0"/>
      <w:marTop w:val="0"/>
      <w:marBottom w:val="0"/>
      <w:divBdr>
        <w:top w:val="none" w:sz="0" w:space="0" w:color="auto"/>
        <w:left w:val="none" w:sz="0" w:space="0" w:color="auto"/>
        <w:bottom w:val="none" w:sz="0" w:space="0" w:color="auto"/>
        <w:right w:val="none" w:sz="0" w:space="0" w:color="auto"/>
      </w:divBdr>
    </w:div>
    <w:div w:id="196275813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415349">
      <w:bodyDiv w:val="1"/>
      <w:marLeft w:val="0"/>
      <w:marRight w:val="0"/>
      <w:marTop w:val="0"/>
      <w:marBottom w:val="0"/>
      <w:divBdr>
        <w:top w:val="none" w:sz="0" w:space="0" w:color="auto"/>
        <w:left w:val="none" w:sz="0" w:space="0" w:color="auto"/>
        <w:bottom w:val="none" w:sz="0" w:space="0" w:color="auto"/>
        <w:right w:val="none" w:sz="0" w:space="0" w:color="auto"/>
      </w:divBdr>
      <w:divsChild>
        <w:div w:id="564687142">
          <w:marLeft w:val="0"/>
          <w:marRight w:val="0"/>
          <w:marTop w:val="0"/>
          <w:marBottom w:val="0"/>
          <w:divBdr>
            <w:top w:val="none" w:sz="0" w:space="0" w:color="auto"/>
            <w:left w:val="none" w:sz="0" w:space="0" w:color="auto"/>
            <w:bottom w:val="none" w:sz="0" w:space="0" w:color="auto"/>
            <w:right w:val="none" w:sz="0" w:space="0" w:color="auto"/>
          </w:divBdr>
        </w:div>
      </w:divsChild>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112890099">
      <w:bodyDiv w:val="1"/>
      <w:marLeft w:val="0"/>
      <w:marRight w:val="0"/>
      <w:marTop w:val="0"/>
      <w:marBottom w:val="0"/>
      <w:divBdr>
        <w:top w:val="none" w:sz="0" w:space="0" w:color="auto"/>
        <w:left w:val="none" w:sz="0" w:space="0" w:color="auto"/>
        <w:bottom w:val="none" w:sz="0" w:space="0" w:color="auto"/>
        <w:right w:val="none" w:sz="0" w:space="0" w:color="auto"/>
      </w:divBdr>
    </w:div>
    <w:div w:id="2116704826">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inyurl.com/4am7nw5n" TargetMode="External"/><Relationship Id="rId3" Type="http://schemas.openxmlformats.org/officeDocument/2006/relationships/hyperlink" Target="https://octo.dc.gov/octo-usability-lab" TargetMode="External"/><Relationship Id="rId7" Type="http://schemas.openxmlformats.org/officeDocument/2006/relationships/hyperlink" Target="https://tinyurl.com/2rteh6fz" TargetMode="External"/><Relationship Id="rId2" Type="http://schemas.openxmlformats.org/officeDocument/2006/relationships/hyperlink" Target="https://tinyurl.com/2p8vtnnt" TargetMode="External"/><Relationship Id="rId1" Type="http://schemas.openxmlformats.org/officeDocument/2006/relationships/hyperlink" Target="https://tinyurl.com/2p83kkwr" TargetMode="External"/><Relationship Id="rId6" Type="http://schemas.openxmlformats.org/officeDocument/2006/relationships/hyperlink" Target="https://www.youtube.com/playlist?list=PLugwVCjzrJsWw0q-NEFgx40PJAX0_Jn9t" TargetMode="External"/><Relationship Id="rId5" Type="http://schemas.openxmlformats.org/officeDocument/2006/relationships/hyperlink" Target="https://www.archives.gov/ogis/about-ogis/chief-foia-officers-council/nexgen-foia-showcase" TargetMode="External"/><Relationship Id="rId4" Type="http://schemas.openxmlformats.org/officeDocument/2006/relationships/hyperlink" Target="https://siteimprove.com/en-us/content-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2022-03-29T13:49:00Z</cp:lastPrinted>
  <dcterms:created xsi:type="dcterms:W3CDTF">2022-03-29T14:34:00Z</dcterms:created>
  <dcterms:modified xsi:type="dcterms:W3CDTF">2022-03-29T14:34:00Z</dcterms:modified>
</cp:coreProperties>
</file>